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宋体" w:hAnsi="宋体" w:eastAsia="宋体" w:cs="宋体"/>
          <w:b/>
          <w:bCs/>
          <w:kern w:val="0"/>
          <w:sz w:val="36"/>
          <w:szCs w:val="36"/>
          <w:lang w:eastAsia="zh-CN" w:bidi="ar"/>
        </w:rPr>
      </w:pPr>
    </w:p>
    <w:p>
      <w:pPr>
        <w:widowControl/>
        <w:spacing w:before="100" w:beforeAutospacing="1" w:after="100" w:afterAutospacing="1"/>
        <w:jc w:val="center"/>
        <w:rPr>
          <w:rFonts w:hint="eastAsia" w:ascii="宋体" w:hAnsi="宋体" w:eastAsia="宋体" w:cs="宋体"/>
          <w:b/>
          <w:bCs/>
          <w:kern w:val="0"/>
          <w:sz w:val="36"/>
          <w:szCs w:val="36"/>
          <w:lang w:bidi="ar"/>
        </w:rPr>
      </w:pPr>
      <w:r>
        <w:rPr>
          <w:rFonts w:hint="eastAsia" w:ascii="宋体" w:hAnsi="宋体" w:eastAsia="宋体" w:cs="宋体"/>
          <w:b/>
          <w:bCs/>
          <w:kern w:val="0"/>
          <w:sz w:val="36"/>
          <w:szCs w:val="36"/>
          <w:lang w:eastAsia="zh-CN" w:bidi="ar"/>
        </w:rPr>
        <w:drawing>
          <wp:inline distT="0" distB="0" distL="114300" distR="114300">
            <wp:extent cx="5257800" cy="1121410"/>
            <wp:effectExtent l="0" t="0" r="0" b="2540"/>
            <wp:docPr id="14" name="图片 14"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校LOGO"/>
                    <pic:cNvPicPr>
                      <a:picLocks noChangeAspect="1"/>
                    </pic:cNvPicPr>
                  </pic:nvPicPr>
                  <pic:blipFill>
                    <a:blip r:embed="rId7"/>
                    <a:stretch>
                      <a:fillRect/>
                    </a:stretch>
                  </pic:blipFill>
                  <pic:spPr>
                    <a:xfrm>
                      <a:off x="0" y="0"/>
                      <a:ext cx="5257800" cy="1121410"/>
                    </a:xfrm>
                    <a:prstGeom prst="rect">
                      <a:avLst/>
                    </a:prstGeom>
                  </pic:spPr>
                </pic:pic>
              </a:graphicData>
            </a:graphic>
          </wp:inline>
        </w:drawing>
      </w:r>
      <w:r>
        <w:rPr>
          <w:rFonts w:hint="eastAsia" w:ascii="宋体" w:hAnsi="宋体" w:cs="宋体"/>
          <w:b/>
          <w:bCs/>
          <w:kern w:val="0"/>
          <w:sz w:val="36"/>
          <w:szCs w:val="36"/>
          <w:lang w:val="en-US" w:eastAsia="zh-CN" w:bidi="ar"/>
        </w:rPr>
        <w:t xml:space="preserve">    </w:t>
      </w:r>
    </w:p>
    <w:p>
      <w:pPr>
        <w:pStyle w:val="2"/>
        <w:rPr>
          <w:rFonts w:hint="eastAsia" w:ascii="宋体" w:hAnsi="宋体" w:eastAsia="宋体" w:cs="宋体"/>
          <w:b/>
          <w:bCs/>
          <w:kern w:val="0"/>
          <w:sz w:val="36"/>
          <w:szCs w:val="36"/>
          <w:lang w:bidi="ar"/>
        </w:rPr>
      </w:pPr>
    </w:p>
    <w:p>
      <w:pPr>
        <w:spacing w:line="360" w:lineRule="auto"/>
        <w:jc w:val="center"/>
        <w:rPr>
          <w:rFonts w:hint="eastAsia" w:ascii="黑体" w:hAnsi="黑体" w:eastAsia="黑体" w:cs="宋体"/>
          <w:b/>
          <w:bCs/>
          <w:sz w:val="52"/>
          <w:szCs w:val="52"/>
          <w:lang w:eastAsia="zh-CN"/>
        </w:rPr>
      </w:pPr>
      <w:r>
        <w:rPr>
          <w:rFonts w:hint="eastAsia" w:ascii="黑体" w:hAnsi="黑体" w:eastAsia="黑体" w:cs="宋体"/>
          <w:b/>
          <w:bCs/>
          <w:sz w:val="52"/>
          <w:szCs w:val="52"/>
          <w:lang w:eastAsia="zh-CN"/>
        </w:rPr>
        <w:t>高职院校适应社会需求能力评估</w:t>
      </w:r>
    </w:p>
    <w:p>
      <w:pPr>
        <w:pStyle w:val="2"/>
        <w:ind w:firstLine="2168" w:firstLineChars="300"/>
        <w:jc w:val="both"/>
        <w:rPr>
          <w:rFonts w:hint="eastAsia"/>
          <w:sz w:val="72"/>
          <w:szCs w:val="72"/>
          <w:lang w:eastAsia="zh-CN"/>
        </w:rPr>
      </w:pPr>
      <w:r>
        <w:rPr>
          <w:rFonts w:hint="eastAsia" w:ascii="黑体" w:hAnsi="黑体" w:eastAsia="黑体" w:cs="宋体"/>
          <w:b/>
          <w:bCs/>
          <w:sz w:val="72"/>
          <w:szCs w:val="72"/>
          <w:lang w:eastAsia="zh-CN"/>
        </w:rPr>
        <w:t>自评报告</w:t>
      </w:r>
    </w:p>
    <w:p>
      <w:pPr>
        <w:pStyle w:val="2"/>
        <w:rPr>
          <w:rFonts w:hint="eastAsia" w:ascii="宋体" w:hAnsi="宋体" w:eastAsia="宋体" w:cs="宋体"/>
          <w:b/>
          <w:bCs/>
          <w:kern w:val="0"/>
          <w:sz w:val="36"/>
          <w:szCs w:val="36"/>
          <w:lang w:bidi="ar"/>
        </w:rPr>
      </w:pPr>
    </w:p>
    <w:p>
      <w:pPr>
        <w:widowControl/>
        <w:spacing w:before="100" w:beforeAutospacing="1" w:after="100" w:afterAutospacing="1"/>
        <w:jc w:val="center"/>
        <w:rPr>
          <w:rFonts w:hint="eastAsia" w:ascii="宋体" w:hAnsi="宋体" w:eastAsia="宋体" w:cs="宋体"/>
          <w:b/>
          <w:bCs/>
          <w:kern w:val="0"/>
          <w:sz w:val="36"/>
          <w:szCs w:val="36"/>
          <w:lang w:bidi="ar"/>
        </w:rPr>
      </w:pPr>
    </w:p>
    <w:p>
      <w:pPr>
        <w:widowControl/>
        <w:spacing w:before="100" w:beforeAutospacing="1" w:after="100" w:afterAutospacing="1"/>
        <w:jc w:val="center"/>
        <w:rPr>
          <w:rFonts w:hint="eastAsia" w:ascii="宋体" w:hAnsi="宋体" w:eastAsia="宋体" w:cs="宋体"/>
          <w:b/>
          <w:bCs/>
          <w:kern w:val="0"/>
          <w:sz w:val="36"/>
          <w:szCs w:val="36"/>
          <w:lang w:bidi="ar"/>
        </w:rPr>
      </w:pPr>
    </w:p>
    <w:p>
      <w:pPr>
        <w:widowControl/>
        <w:spacing w:before="100" w:beforeAutospacing="1" w:after="100" w:afterAutospacing="1"/>
        <w:jc w:val="center"/>
        <w:rPr>
          <w:rFonts w:hint="eastAsia" w:ascii="宋体" w:hAnsi="宋体" w:eastAsia="宋体" w:cs="宋体"/>
          <w:b/>
          <w:bCs/>
          <w:kern w:val="0"/>
          <w:sz w:val="36"/>
          <w:szCs w:val="36"/>
          <w:lang w:bidi="ar"/>
        </w:rPr>
      </w:pPr>
    </w:p>
    <w:p>
      <w:pPr>
        <w:widowControl/>
        <w:spacing w:before="100" w:beforeAutospacing="1" w:after="100" w:afterAutospacing="1"/>
        <w:jc w:val="center"/>
        <w:rPr>
          <w:rFonts w:hint="eastAsia" w:ascii="宋体" w:hAnsi="宋体" w:eastAsia="宋体" w:cs="宋体"/>
          <w:b/>
          <w:bCs/>
          <w:kern w:val="0"/>
          <w:sz w:val="36"/>
          <w:szCs w:val="36"/>
          <w:lang w:bidi="ar"/>
        </w:rPr>
      </w:pPr>
    </w:p>
    <w:p>
      <w:pPr>
        <w:pStyle w:val="2"/>
        <w:rPr>
          <w:rFonts w:hint="eastAsia" w:ascii="宋体" w:hAnsi="宋体" w:eastAsia="宋体" w:cs="宋体"/>
          <w:b/>
          <w:bCs/>
          <w:kern w:val="0"/>
          <w:sz w:val="36"/>
          <w:szCs w:val="36"/>
          <w:lang w:bidi="ar"/>
        </w:rPr>
      </w:pPr>
    </w:p>
    <w:p>
      <w:pPr>
        <w:pStyle w:val="2"/>
        <w:rPr>
          <w:rFonts w:hint="eastAsia" w:ascii="宋体" w:hAnsi="宋体" w:eastAsia="宋体" w:cs="宋体"/>
          <w:b/>
          <w:bCs/>
          <w:kern w:val="0"/>
          <w:sz w:val="36"/>
          <w:szCs w:val="36"/>
          <w:lang w:bidi="ar"/>
        </w:rPr>
      </w:pPr>
    </w:p>
    <w:p>
      <w:pPr>
        <w:widowControl/>
        <w:spacing w:before="100" w:beforeAutospacing="1" w:after="100" w:afterAutospacing="1"/>
        <w:jc w:val="center"/>
        <w:rPr>
          <w:rFonts w:hint="default" w:ascii="宋体" w:hAnsi="宋体" w:eastAsia="宋体" w:cs="宋体"/>
          <w:b/>
          <w:bCs/>
          <w:kern w:val="0"/>
          <w:sz w:val="36"/>
          <w:szCs w:val="36"/>
          <w:lang w:val="en-US" w:eastAsia="zh-CN" w:bidi="ar"/>
        </w:rPr>
      </w:pPr>
      <w:r>
        <w:rPr>
          <w:rFonts w:hint="eastAsia" w:ascii="宋体" w:hAnsi="宋体" w:cs="宋体"/>
          <w:b/>
          <w:bCs/>
          <w:kern w:val="0"/>
          <w:sz w:val="36"/>
          <w:szCs w:val="36"/>
          <w:lang w:val="en-US" w:eastAsia="zh-CN" w:bidi="ar"/>
        </w:rPr>
        <w:t xml:space="preserve"> </w:t>
      </w:r>
      <w:r>
        <w:rPr>
          <w:rFonts w:hint="eastAsia" w:ascii="宋体" w:hAnsi="宋体" w:cs="宋体"/>
          <w:b/>
          <w:bCs/>
          <w:kern w:val="0"/>
          <w:sz w:val="36"/>
          <w:szCs w:val="36"/>
          <w:lang w:eastAsia="zh-CN" w:bidi="ar"/>
        </w:rPr>
        <w:t>二〇二〇年十月</w:t>
      </w:r>
      <w:bookmarkStart w:id="43" w:name="_GoBack"/>
      <w:bookmarkEnd w:id="43"/>
    </w:p>
    <w:p>
      <w:pPr>
        <w:widowControl/>
        <w:spacing w:before="100" w:beforeAutospacing="1" w:after="100" w:afterAutospacing="1"/>
        <w:jc w:val="center"/>
        <w:rPr>
          <w:rFonts w:hint="eastAsia" w:ascii="宋体" w:hAnsi="宋体" w:eastAsia="宋体" w:cs="宋体"/>
          <w:b/>
          <w:bCs/>
          <w:kern w:val="0"/>
          <w:sz w:val="36"/>
          <w:szCs w:val="36"/>
          <w:lang w:bidi="ar"/>
        </w:rPr>
      </w:pPr>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eastAsia="宋体" w:cs="宋体"/>
          <w:b/>
          <w:bCs/>
          <w:color w:val="000000"/>
          <w:kern w:val="0"/>
          <w:sz w:val="36"/>
          <w:szCs w:val="36"/>
          <w:lang w:val="en-US" w:eastAsia="zh-CN" w:bidi="ar"/>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0" w:name="_Toc14298"/>
    </w:p>
    <w:p>
      <w:pPr>
        <w:spacing w:before="0" w:beforeLines="0" w:after="0" w:afterLines="0" w:line="240" w:lineRule="auto"/>
        <w:ind w:left="0" w:leftChars="0" w:right="0" w:rightChars="0" w:firstLine="0" w:firstLineChars="0"/>
        <w:jc w:val="center"/>
        <w:rPr>
          <w:b/>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fldChar w:fldCharType="begin"/>
      </w:r>
      <w:r>
        <w:instrText xml:space="preserve">TOC \o "1-2"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_Toc28582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一、办</w:t>
      </w:r>
      <w:r>
        <w:rPr>
          <w:rFonts w:hint="eastAsia" w:asciiTheme="minorEastAsia" w:hAnsiTheme="minorEastAsia" w:eastAsiaTheme="minorEastAsia" w:cstheme="minorEastAsia"/>
          <w:b/>
          <w:bCs/>
          <w:kern w:val="0"/>
          <w:sz w:val="24"/>
          <w:szCs w:val="24"/>
          <w:lang w:eastAsia="zh-CN" w:bidi="ar"/>
        </w:rPr>
        <w:t>学</w:t>
      </w:r>
      <w:r>
        <w:rPr>
          <w:rFonts w:hint="eastAsia" w:asciiTheme="minorEastAsia" w:hAnsiTheme="minorEastAsia" w:eastAsiaTheme="minorEastAsia" w:cstheme="minorEastAsia"/>
          <w:b/>
          <w:bCs/>
          <w:kern w:val="0"/>
          <w:sz w:val="24"/>
          <w:szCs w:val="24"/>
          <w:lang w:bidi="ar"/>
        </w:rPr>
        <w:t>基本情况</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_Toc28582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_Toc715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二、办学基础能力分析</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_Toc715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_Toc8386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（一）生均财政拨款水平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_Toc8386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（二）教学仪器设备配置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_Toc28058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_Toc19466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（三）校舍</w:t>
      </w:r>
      <w:r>
        <w:rPr>
          <w:rFonts w:hint="eastAsia" w:asciiTheme="minorEastAsia" w:hAnsiTheme="minorEastAsia" w:eastAsiaTheme="minorEastAsia" w:cstheme="minorEastAsia"/>
          <w:bCs/>
          <w:kern w:val="0"/>
          <w:sz w:val="24"/>
          <w:szCs w:val="24"/>
          <w:lang w:eastAsia="zh-CN" w:bidi="ar"/>
        </w:rPr>
        <w:t>及</w:t>
      </w:r>
      <w:r>
        <w:rPr>
          <w:rFonts w:hint="eastAsia" w:asciiTheme="minorEastAsia" w:hAnsiTheme="minorEastAsia" w:eastAsiaTheme="minorEastAsia" w:cstheme="minorEastAsia"/>
          <w:bCs/>
          <w:kern w:val="0"/>
          <w:sz w:val="24"/>
          <w:szCs w:val="24"/>
          <w:lang w:bidi="ar"/>
        </w:rPr>
        <w:t>信息化条件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_Toc30268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三、师资队伍建设情况分析</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_Toc30268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_Toc10708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（一）师资队伍整体结构</w:t>
      </w:r>
      <w:r>
        <w:rPr>
          <w:rFonts w:hint="eastAsia" w:asciiTheme="minorEastAsia" w:hAnsiTheme="minorEastAsia" w:eastAsiaTheme="minorEastAsia" w:cstheme="minorEastAsia"/>
          <w:bCs/>
          <w:kern w:val="0"/>
          <w:sz w:val="24"/>
          <w:szCs w:val="24"/>
          <w:lang w:eastAsia="zh-CN" w:bidi="ar"/>
        </w:rPr>
        <w:t>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（二）师资队伍“双师素质”状况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_Toc20617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（三）师资队伍建设情况及效果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_Toc19415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四、学校专业建设情况分析</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_Toc19415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_Toc8445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（一）</w:t>
      </w:r>
      <w:r>
        <w:rPr>
          <w:rFonts w:hint="eastAsia" w:asciiTheme="minorEastAsia" w:hAnsiTheme="minorEastAsia" w:eastAsiaTheme="minorEastAsia" w:cstheme="minorEastAsia"/>
          <w:bCs/>
          <w:kern w:val="0"/>
          <w:sz w:val="24"/>
          <w:szCs w:val="24"/>
          <w:lang w:eastAsia="zh-CN" w:bidi="ar"/>
        </w:rPr>
        <w:t>基于</w:t>
      </w:r>
      <w:r>
        <w:rPr>
          <w:rFonts w:hint="eastAsia" w:asciiTheme="minorEastAsia" w:hAnsiTheme="minorEastAsia" w:eastAsiaTheme="minorEastAsia" w:cstheme="minorEastAsia"/>
          <w:bCs/>
          <w:kern w:val="0"/>
          <w:sz w:val="24"/>
          <w:szCs w:val="24"/>
          <w:lang w:bidi="ar"/>
        </w:rPr>
        <w:t>诊改</w:t>
      </w:r>
      <w:r>
        <w:rPr>
          <w:rFonts w:hint="eastAsia" w:asciiTheme="minorEastAsia" w:hAnsiTheme="minorEastAsia" w:eastAsiaTheme="minorEastAsia" w:cstheme="minorEastAsia"/>
          <w:bCs/>
          <w:kern w:val="0"/>
          <w:sz w:val="24"/>
          <w:szCs w:val="24"/>
          <w:lang w:eastAsia="zh-CN" w:bidi="ar"/>
        </w:rPr>
        <w:t>的</w:t>
      </w:r>
      <w:r>
        <w:rPr>
          <w:rFonts w:hint="eastAsia" w:asciiTheme="minorEastAsia" w:hAnsiTheme="minorEastAsia" w:eastAsiaTheme="minorEastAsia" w:cstheme="minorEastAsia"/>
          <w:bCs/>
          <w:kern w:val="0"/>
          <w:sz w:val="24"/>
          <w:szCs w:val="24"/>
          <w:lang w:bidi="ar"/>
        </w:rPr>
        <w:t>质量保证体系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_Toc8445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_Toc32588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（二）专业人才培养模式改革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_Toc32588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_Toc4162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（三）</w:t>
      </w:r>
      <w:r>
        <w:rPr>
          <w:rFonts w:hint="eastAsia" w:asciiTheme="minorEastAsia" w:hAnsiTheme="minorEastAsia" w:eastAsiaTheme="minorEastAsia" w:cstheme="minorEastAsia"/>
          <w:bCs/>
          <w:kern w:val="0"/>
          <w:sz w:val="24"/>
          <w:szCs w:val="24"/>
          <w:lang w:eastAsia="zh-CN" w:bidi="ar"/>
        </w:rPr>
        <w:t>课程与</w:t>
      </w:r>
      <w:r>
        <w:rPr>
          <w:rFonts w:hint="eastAsia" w:asciiTheme="minorEastAsia" w:hAnsiTheme="minorEastAsia" w:eastAsiaTheme="minorEastAsia" w:cstheme="minorEastAsia"/>
          <w:bCs/>
          <w:kern w:val="0"/>
          <w:sz w:val="24"/>
          <w:szCs w:val="24"/>
          <w:lang w:bidi="ar"/>
        </w:rPr>
        <w:t>课程体系</w:t>
      </w:r>
      <w:r>
        <w:rPr>
          <w:rFonts w:hint="eastAsia" w:asciiTheme="minorEastAsia" w:hAnsiTheme="minorEastAsia" w:eastAsiaTheme="minorEastAsia" w:cstheme="minorEastAsia"/>
          <w:bCs/>
          <w:kern w:val="0"/>
          <w:sz w:val="24"/>
          <w:szCs w:val="24"/>
          <w:lang w:eastAsia="zh-CN" w:bidi="ar"/>
        </w:rPr>
        <w:t>的</w:t>
      </w:r>
      <w:r>
        <w:rPr>
          <w:rFonts w:hint="eastAsia" w:asciiTheme="minorEastAsia" w:hAnsiTheme="minorEastAsia" w:eastAsiaTheme="minorEastAsia" w:cstheme="minorEastAsia"/>
          <w:bCs/>
          <w:kern w:val="0"/>
          <w:sz w:val="24"/>
          <w:szCs w:val="24"/>
          <w:lang w:bidi="ar"/>
        </w:rPr>
        <w:t>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_Toc4162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校内实践教学条件建设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_Toc6632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（五）产教融合与校企合作</w:t>
      </w:r>
      <w:r>
        <w:rPr>
          <w:rFonts w:hint="eastAsia" w:asciiTheme="minorEastAsia" w:hAnsiTheme="minorEastAsia" w:eastAsiaTheme="minorEastAsia" w:cstheme="minorEastAsia"/>
          <w:bCs/>
          <w:kern w:val="0"/>
          <w:sz w:val="24"/>
          <w:szCs w:val="24"/>
          <w:lang w:eastAsia="zh-CN" w:bidi="ar"/>
        </w:rPr>
        <w:t>机制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_Toc6632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_Toc19253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五、学生发展成效分析</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_Toc19253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25</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_Toc18670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（一）毕业生职业资格证书</w:t>
      </w:r>
      <w:r>
        <w:rPr>
          <w:rFonts w:hint="eastAsia" w:asciiTheme="minorEastAsia" w:hAnsiTheme="minorEastAsia" w:eastAsiaTheme="minorEastAsia" w:cstheme="minorEastAsia"/>
          <w:bCs/>
          <w:kern w:val="0"/>
          <w:sz w:val="24"/>
          <w:szCs w:val="24"/>
          <w:lang w:eastAsia="zh-CN" w:bidi="ar"/>
        </w:rPr>
        <w:t>获取</w:t>
      </w:r>
      <w:r>
        <w:rPr>
          <w:rFonts w:hint="eastAsia" w:asciiTheme="minorEastAsia" w:hAnsiTheme="minorEastAsia" w:eastAsiaTheme="minorEastAsia" w:cstheme="minorEastAsia"/>
          <w:bCs/>
          <w:kern w:val="0"/>
          <w:sz w:val="24"/>
          <w:szCs w:val="24"/>
          <w:lang w:bidi="ar"/>
        </w:rPr>
        <w:t>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_Toc18670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（二）毕业生</w:t>
      </w:r>
      <w:r>
        <w:rPr>
          <w:rFonts w:hint="eastAsia" w:asciiTheme="minorEastAsia" w:hAnsiTheme="minorEastAsia" w:eastAsiaTheme="minorEastAsia" w:cstheme="minorEastAsia"/>
          <w:bCs/>
          <w:kern w:val="0"/>
          <w:sz w:val="24"/>
          <w:szCs w:val="24"/>
          <w:lang w:eastAsia="zh-CN" w:bidi="ar"/>
        </w:rPr>
        <w:t>的高质量</w:t>
      </w:r>
      <w:r>
        <w:rPr>
          <w:rFonts w:hint="eastAsia" w:asciiTheme="minorEastAsia" w:hAnsiTheme="minorEastAsia" w:eastAsiaTheme="minorEastAsia" w:cstheme="minorEastAsia"/>
          <w:bCs/>
          <w:kern w:val="0"/>
          <w:sz w:val="24"/>
          <w:szCs w:val="24"/>
          <w:lang w:bidi="ar"/>
        </w:rPr>
        <w:t>就业情况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（三）创新创业素质</w:t>
      </w:r>
      <w:r>
        <w:rPr>
          <w:rFonts w:hint="eastAsia" w:asciiTheme="minorEastAsia" w:hAnsiTheme="minorEastAsia" w:eastAsiaTheme="minorEastAsia" w:cstheme="minorEastAsia"/>
          <w:bCs/>
          <w:kern w:val="0"/>
          <w:sz w:val="24"/>
          <w:szCs w:val="24"/>
          <w:lang w:eastAsia="zh-CN" w:bidi="ar"/>
        </w:rPr>
        <w:t>的</w:t>
      </w:r>
      <w:r>
        <w:rPr>
          <w:rFonts w:hint="eastAsia" w:asciiTheme="minorEastAsia" w:hAnsiTheme="minorEastAsia" w:eastAsiaTheme="minorEastAsia" w:cstheme="minorEastAsia"/>
          <w:bCs/>
          <w:kern w:val="0"/>
          <w:sz w:val="24"/>
          <w:szCs w:val="24"/>
          <w:lang w:bidi="ar"/>
        </w:rPr>
        <w:t>培养情况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_Toc10773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（四）国际合作办学</w:t>
      </w:r>
      <w:r>
        <w:rPr>
          <w:rFonts w:hint="eastAsia" w:asciiTheme="minorEastAsia" w:hAnsiTheme="minorEastAsia" w:eastAsiaTheme="minorEastAsia" w:cstheme="minorEastAsia"/>
          <w:bCs/>
          <w:kern w:val="0"/>
          <w:sz w:val="24"/>
          <w:szCs w:val="24"/>
          <w:lang w:eastAsia="zh-CN" w:bidi="ar"/>
        </w:rPr>
        <w:t>的进展</w:t>
      </w:r>
      <w:r>
        <w:rPr>
          <w:rFonts w:hint="eastAsia" w:asciiTheme="minorEastAsia" w:hAnsiTheme="minorEastAsia" w:eastAsiaTheme="minorEastAsia" w:cstheme="minorEastAsia"/>
          <w:bCs/>
          <w:kern w:val="0"/>
          <w:sz w:val="24"/>
          <w:szCs w:val="24"/>
          <w:lang w:bidi="ar"/>
        </w:rPr>
        <w:t>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_Toc14908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bidi="ar"/>
        </w:rPr>
        <w:t>六、学校社会服务能力分析</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_Toc14908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31</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_Toc20639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（一）服务区域经济发展能力情况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_Toc31778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（二）专业设置适应社会需求情况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_Toc31778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_Toc9224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（三）向企事业单位提供技术服务情况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_Toc9224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bidi="ar"/>
        </w:rPr>
        <w:t>（四）满足政府购买服务</w:t>
      </w:r>
      <w:r>
        <w:rPr>
          <w:rFonts w:hint="eastAsia" w:asciiTheme="minorEastAsia" w:hAnsiTheme="minorEastAsia" w:eastAsiaTheme="minorEastAsia" w:cstheme="minorEastAsia"/>
          <w:bCs/>
          <w:kern w:val="0"/>
          <w:sz w:val="24"/>
          <w:szCs w:val="24"/>
          <w:lang w:eastAsia="zh-CN" w:bidi="ar"/>
        </w:rPr>
        <w:t>基本</w:t>
      </w:r>
      <w:r>
        <w:rPr>
          <w:rFonts w:hint="eastAsia" w:asciiTheme="minorEastAsia" w:hAnsiTheme="minorEastAsia" w:eastAsiaTheme="minorEastAsia" w:cstheme="minorEastAsia"/>
          <w:bCs/>
          <w:kern w:val="0"/>
          <w:sz w:val="24"/>
          <w:szCs w:val="24"/>
          <w:lang w:bidi="ar"/>
        </w:rPr>
        <w:t>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HYPERLINK \l _Toc27252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bCs/>
          <w:kern w:val="0"/>
          <w:sz w:val="24"/>
          <w:szCs w:val="24"/>
          <w:lang w:eastAsia="zh-CN" w:bidi="ar"/>
        </w:rPr>
        <w:t>七、社会需求能力提升的挑战与思考</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PAGEREF _Toc27252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39</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_Toc21774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eastAsia="zh-CN" w:bidi="ar"/>
        </w:rPr>
        <w:t>（一）校企深度合作机制有待创新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_Toc21774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_Toc26688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eastAsia="zh-CN" w:bidi="ar"/>
        </w:rPr>
        <w:t>（二）质量评价体系有待完善</w:t>
      </w:r>
      <w:r>
        <w:rPr>
          <w:rFonts w:hint="eastAsia" w:asciiTheme="minorEastAsia" w:hAnsiTheme="minorEastAsia" w:eastAsiaTheme="minorEastAsia" w:cstheme="minorEastAsia"/>
          <w:bCs w:val="0"/>
          <w:kern w:val="0"/>
          <w:sz w:val="24"/>
          <w:szCs w:val="24"/>
          <w:lang w:bidi="ar"/>
        </w:rPr>
        <w:t xml:space="preserve"> </w:t>
      </w:r>
      <w:r>
        <w:rPr>
          <w:rFonts w:hint="eastAsia" w:asciiTheme="minorEastAsia" w:hAnsiTheme="minorEastAsia" w:eastAsiaTheme="minorEastAsia" w:cstheme="minorEastAsia"/>
          <w:bCs w:val="0"/>
          <w:kern w:val="0"/>
          <w:sz w:val="24"/>
          <w:szCs w:val="24"/>
          <w:lang w:val="en-US" w:eastAsia="zh-CN" w:bidi="ar"/>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rPr>
          <w:b/>
        </w:rPr>
        <w:sectPr>
          <w:footerReference r:id="rId4" w:type="default"/>
          <w:pgSz w:w="11906" w:h="16838"/>
          <w:pgMar w:top="1440" w:right="1800" w:bottom="1440" w:left="1800" w:header="851" w:footer="992" w:gutter="0"/>
          <w:pgNumType w:fmt="decimal" w:start="1"/>
          <w:cols w:space="720" w:num="1"/>
          <w:docGrid w:type="lines" w:linePitch="312" w:charSpace="0"/>
        </w:sectPr>
      </w:pPr>
    </w:p>
    <w:p>
      <w:r>
        <w:rPr>
          <w:b/>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bCs/>
          <w:color w:val="000000"/>
          <w:kern w:val="0"/>
          <w:sz w:val="36"/>
          <w:szCs w:val="36"/>
          <w:lang w:val="en-US" w:eastAsia="zh-CN" w:bidi="ar"/>
        </w:rPr>
      </w:pPr>
      <w:bookmarkStart w:id="1" w:name="_Toc8047"/>
      <w:r>
        <w:rPr>
          <w:rFonts w:hint="eastAsia" w:ascii="宋体" w:hAnsi="宋体" w:eastAsia="宋体" w:cs="宋体"/>
          <w:b/>
          <w:bCs/>
          <w:color w:val="000000"/>
          <w:kern w:val="0"/>
          <w:sz w:val="36"/>
          <w:szCs w:val="36"/>
          <w:lang w:val="en-US" w:eastAsia="zh-CN" w:bidi="ar"/>
        </w:rPr>
        <w:t>陕西工商职业学院</w:t>
      </w:r>
      <w:bookmarkEnd w:id="1"/>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bCs/>
          <w:color w:val="000000"/>
          <w:kern w:val="0"/>
          <w:sz w:val="36"/>
          <w:szCs w:val="36"/>
          <w:lang w:val="en-US" w:eastAsia="zh-CN" w:bidi="ar"/>
        </w:rPr>
      </w:pPr>
      <w:bookmarkStart w:id="2" w:name="_Toc11889"/>
      <w:r>
        <w:rPr>
          <w:rFonts w:hint="eastAsia" w:ascii="宋体" w:hAnsi="宋体" w:eastAsia="宋体" w:cs="宋体"/>
          <w:b/>
          <w:bCs/>
          <w:color w:val="000000"/>
          <w:kern w:val="0"/>
          <w:sz w:val="36"/>
          <w:szCs w:val="36"/>
          <w:lang w:val="en-US" w:eastAsia="zh-CN" w:bidi="ar"/>
        </w:rPr>
        <w:t>2019年适应社会需求能力评估自评报告</w:t>
      </w:r>
      <w:bookmarkEnd w:id="0"/>
      <w:bookmarkEnd w:id="2"/>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国务院教育督导委员会办公室关于开展2020年全国职业院校评估工作的通知》（国教督办函[2020]25号）和《陕西省教育厅办公室关于做好2020年全国职业院校评估工作的通知》（陕职教[2020]16号）文件精神，对学校适应社会需求能力状况进行了系统的自我评估与分析。</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我评估与分析坚持“以立德树人为根本，以服务发展为宗旨，以促进就业为导向”的指导思想，目的在于通过对学校综合办学实力全面系统的自我评估，进一步促进学校内涵建设质量的提升，深化产教融合、校企合作，激发办学活力，不断提高人才培养质量和能力。通过自评，找出影响能力提升的问题或难题，制定针对性改进措施，更好地适应陕西区域经济发展的需要。</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eastAsia="宋体" w:cs="宋体"/>
          <w:b/>
          <w:bCs/>
          <w:sz w:val="28"/>
          <w:szCs w:val="28"/>
        </w:rPr>
      </w:pPr>
      <w:bookmarkStart w:id="3" w:name="_Toc28582"/>
      <w:r>
        <w:rPr>
          <w:rFonts w:hint="eastAsia" w:ascii="宋体" w:hAnsi="宋体" w:eastAsia="宋体" w:cs="宋体"/>
          <w:b/>
          <w:bCs/>
          <w:color w:val="000000"/>
          <w:kern w:val="0"/>
          <w:sz w:val="28"/>
          <w:szCs w:val="28"/>
          <w:lang w:bidi="ar"/>
        </w:rPr>
        <w:t>一、办</w:t>
      </w:r>
      <w:r>
        <w:rPr>
          <w:rFonts w:hint="eastAsia" w:ascii="宋体" w:hAnsi="宋体" w:eastAsia="宋体" w:cs="宋体"/>
          <w:b/>
          <w:bCs/>
          <w:color w:val="000000"/>
          <w:kern w:val="0"/>
          <w:sz w:val="28"/>
          <w:szCs w:val="28"/>
          <w:lang w:eastAsia="zh-CN" w:bidi="ar"/>
        </w:rPr>
        <w:t>学</w:t>
      </w:r>
      <w:r>
        <w:rPr>
          <w:rFonts w:hint="eastAsia" w:ascii="宋体" w:hAnsi="宋体" w:eastAsia="宋体" w:cs="宋体"/>
          <w:b/>
          <w:bCs/>
          <w:color w:val="000000"/>
          <w:kern w:val="0"/>
          <w:sz w:val="28"/>
          <w:szCs w:val="28"/>
          <w:lang w:bidi="ar"/>
        </w:rPr>
        <w:t>基本情况</w:t>
      </w:r>
      <w:bookmarkEnd w:id="3"/>
      <w:r>
        <w:rPr>
          <w:rFonts w:hint="eastAsia" w:ascii="宋体" w:hAnsi="宋体" w:eastAsia="宋体" w:cs="宋体"/>
          <w:b/>
          <w:bCs/>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陕西工商职业学院是陕西省人民政府主办、省教育厅主管、教育部备案的公办全日制普通高等职业学院，位于陕西省西安市，现有郭杜、含光等六个校区，总占地面积698亩，校舍建筑面积38万余平方米。学校设有会计金融学院、物流管理学院、中瑞旅游与酒店管理学院、建筑工程学院、信息与智能技术学院、中德机电工程与汽车科技学院、公共管理学院、文化传媒与艺术设计学院、学前师范学院、护理学院、马克思主义学院、基础课教学部等12个教学单位。现有专业66个，其中三年制高职专业39个、五年制高职专业13个、三年制中职专业14个，2020年参与陕西省分类考试综合评价招生专业35个。截止2020年8月底，拥有学历教育在校生总数9751人。学校获得的荣誉有：陕西省文明校园、陕西省平安校园、陕西高等学校阳光体育优秀单位、陕西省高等学校教育管理工作先进集体、陕西高等学校先进基层党组织、陕西省示范性高等学校就业创业指导服务机构、2019年度高职院校品牌影响力50强、2019年陕西省五佳网络口碑高职院校等。</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目前，学校各项教育教学资源可以满足社会需求的办学要求，见表1所示。</w:t>
      </w:r>
    </w:p>
    <w:p>
      <w:pPr>
        <w:widowControl/>
        <w:spacing w:line="360" w:lineRule="auto"/>
        <w:ind w:firstLine="236" w:firstLineChars="98"/>
        <w:jc w:val="center"/>
        <w:rPr>
          <w:rFonts w:hint="eastAsia" w:ascii="宋体" w:hAnsi="宋体" w:eastAsia="宋体" w:cs="宋体"/>
          <w:sz w:val="24"/>
          <w:szCs w:val="24"/>
          <w:lang w:val="en-US" w:eastAsia="zh-CN"/>
        </w:rPr>
      </w:pPr>
      <w:r>
        <w:rPr>
          <w:rFonts w:hint="eastAsia" w:ascii="宋体" w:hAnsi="宋体" w:eastAsia="宋体" w:cs="宋体"/>
          <w:b/>
          <w:color w:val="000000"/>
          <w:kern w:val="0"/>
          <w:sz w:val="24"/>
          <w:szCs w:val="24"/>
          <w:lang w:bidi="ar"/>
        </w:rPr>
        <w:t>表1   2017～2019 年学校适应社会需求办学基本情况</w:t>
      </w:r>
    </w:p>
    <w:tbl>
      <w:tblPr>
        <w:tblStyle w:val="1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60"/>
        <w:gridCol w:w="1220"/>
        <w:gridCol w:w="120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序号</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自评指标</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2017年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指标值</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2019年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指标值</w:t>
            </w:r>
          </w:p>
        </w:tc>
        <w:tc>
          <w:tcPr>
            <w:tcW w:w="13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与上期相比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增(减)率</w:t>
            </w:r>
            <w:r>
              <w:rPr>
                <w:rFonts w:hint="eastAsia" w:ascii="宋体" w:hAnsi="宋体" w:eastAsia="宋体" w:cs="宋体"/>
                <w:b/>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000000"/>
                <w:kern w:val="0"/>
                <w:sz w:val="21"/>
                <w:szCs w:val="21"/>
                <w:lang w:bidi="ar"/>
              </w:rPr>
            </w:pPr>
            <w:r>
              <w:rPr>
                <w:rFonts w:hint="eastAsia" w:ascii="宋体" w:hAnsi="宋体" w:eastAsia="宋体" w:cs="宋体"/>
                <w:color w:val="000000"/>
                <w:kern w:val="0"/>
                <w:sz w:val="21"/>
                <w:szCs w:val="21"/>
                <w:lang w:bidi="ar"/>
              </w:rPr>
              <w:t>生均财政拨款水平（元/生）</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13110.75</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12857</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生均教学仪器设备值（元/生）</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5125.83</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19663.31</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生均教学及辅助、行政办公用房面积（㎡/生）</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eastAsia" w:cs="Times New Roman"/>
                <w:bCs/>
                <w:kern w:val="0"/>
                <w:sz w:val="21"/>
                <w:szCs w:val="21"/>
                <w:lang w:val="en-US" w:eastAsia="zh-CN" w:bidi="ar"/>
              </w:rPr>
              <w:t>1</w:t>
            </w:r>
            <w:r>
              <w:rPr>
                <w:rFonts w:hint="default" w:ascii="Times New Roman" w:hAnsi="Times New Roman" w:eastAsia="宋体" w:cs="Times New Roman"/>
                <w:bCs/>
                <w:kern w:val="0"/>
                <w:sz w:val="21"/>
                <w:szCs w:val="21"/>
                <w:lang w:bidi="ar"/>
              </w:rPr>
              <w:t>6.61</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21.17</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bidi="ar"/>
              </w:rPr>
            </w:pPr>
            <w:r>
              <w:rPr>
                <w:rFonts w:hint="eastAsia" w:cs="Times New Roman"/>
                <w:bCs/>
                <w:kern w:val="0"/>
                <w:sz w:val="21"/>
                <w:szCs w:val="21"/>
                <w:lang w:val="en-US" w:eastAsia="zh-CN" w:bidi="ar"/>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信息化教学条件：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18"/>
                <w:szCs w:val="18"/>
                <w:lang w:bidi="ar"/>
              </w:rPr>
              <w:t>（1）每百名学生拥有教学用终端数（台/百名学生）</w:t>
            </w:r>
            <w:r>
              <w:rPr>
                <w:rFonts w:hint="eastAsia" w:ascii="宋体" w:hAnsi="宋体" w:eastAsia="宋体" w:cs="宋体"/>
                <w:color w:val="000000"/>
                <w:kern w:val="0"/>
                <w:sz w:val="21"/>
                <w:szCs w:val="21"/>
                <w:lang w:bidi="ar"/>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（2）接入互联网出口带宽（Mbps）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（3）校园网主干最大带宽（Mbps）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（4）网络信息点数（个）</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（5）数字资源总量（GB）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（6）上网课程数（门）</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13"/>
                <w:szCs w:val="13"/>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17.28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3660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2000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3550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5068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15"/>
                <w:szCs w:val="15"/>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20.03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2200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2000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4765</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5068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50</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15"/>
                <w:szCs w:val="15"/>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+15.91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lang w:bidi="ar"/>
              </w:rPr>
            </w:pPr>
            <w:r>
              <w:rPr>
                <w:rFonts w:hint="default" w:ascii="Times New Roman" w:hAnsi="Times New Roman" w:eastAsia="宋体" w:cs="Times New Roman"/>
                <w:bCs/>
                <w:color w:val="auto"/>
                <w:kern w:val="0"/>
                <w:sz w:val="21"/>
                <w:szCs w:val="21"/>
                <w:lang w:bidi="ar"/>
              </w:rPr>
              <w:t>-39.89</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+34.22</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auto"/>
                <w:kern w:val="0"/>
                <w:sz w:val="21"/>
                <w:szCs w:val="21"/>
                <w:lang w:bidi="ar"/>
              </w:rPr>
              <w:t>生均校内实践教学工位数（个/生）</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eastAsia" w:cs="Times New Roman"/>
                <w:bCs/>
                <w:kern w:val="0"/>
                <w:sz w:val="21"/>
                <w:szCs w:val="21"/>
                <w:lang w:val="en-US" w:eastAsia="zh-CN" w:bidi="ar"/>
              </w:rPr>
              <w:t>0.6</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eastAsia" w:cs="Times New Roman"/>
                <w:bCs/>
                <w:kern w:val="0"/>
                <w:sz w:val="21"/>
                <w:szCs w:val="21"/>
                <w:lang w:val="en-US" w:eastAsia="zh-CN" w:bidi="ar"/>
              </w:rPr>
              <w:t>0.75</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default" w:ascii="Times New Roman" w:hAnsi="Times New Roman" w:eastAsia="宋体" w:cs="Times New Roman"/>
                <w:bCs/>
                <w:kern w:val="0"/>
                <w:sz w:val="21"/>
                <w:szCs w:val="21"/>
                <w:lang w:bidi="ar"/>
              </w:rPr>
              <w:t>+</w:t>
            </w:r>
            <w:r>
              <w:rPr>
                <w:rFonts w:hint="eastAsia" w:cs="Times New Roman"/>
                <w:bCs/>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生师比（生/师）</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16.66</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10.38</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color w:val="auto"/>
                <w:kern w:val="0"/>
                <w:sz w:val="21"/>
                <w:szCs w:val="21"/>
                <w:lang w:bidi="ar"/>
              </w:rPr>
              <w:t>-37.69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7</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“双师型”教师比例（%）  </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30.04</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47.29</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8</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“纯理论课”（A 类）、“实践+理论课”（B 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和“纯实践课”（C 类）三种课程的课时比例</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18"/>
                <w:szCs w:val="18"/>
                <w:lang w:bidi="ar"/>
              </w:rPr>
            </w:pPr>
            <w:r>
              <w:rPr>
                <w:rFonts w:hint="default" w:ascii="Times New Roman" w:hAnsi="Times New Roman" w:eastAsia="宋体" w:cs="Times New Roman"/>
                <w:bCs/>
                <w:kern w:val="0"/>
                <w:sz w:val="18"/>
                <w:szCs w:val="18"/>
                <w:lang w:bidi="ar"/>
              </w:rPr>
              <w:t>1</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3.26</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0.68</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18"/>
                <w:szCs w:val="18"/>
                <w:lang w:bidi="ar"/>
              </w:rPr>
            </w:pPr>
            <w:r>
              <w:rPr>
                <w:rFonts w:hint="default" w:ascii="Times New Roman" w:hAnsi="Times New Roman" w:eastAsia="宋体" w:cs="Times New Roman"/>
                <w:bCs/>
                <w:kern w:val="0"/>
                <w:sz w:val="18"/>
                <w:szCs w:val="18"/>
                <w:lang w:bidi="ar"/>
              </w:rPr>
              <w:t>1:</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6.10</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w:t>
            </w:r>
            <w:r>
              <w:rPr>
                <w:rFonts w:hint="eastAsia" w:cs="Times New Roman"/>
                <w:bCs/>
                <w:kern w:val="0"/>
                <w:sz w:val="18"/>
                <w:szCs w:val="18"/>
                <w:lang w:val="en-US" w:eastAsia="zh-CN" w:bidi="ar"/>
              </w:rPr>
              <w:t xml:space="preserve"> </w:t>
            </w:r>
            <w:r>
              <w:rPr>
                <w:rFonts w:hint="default" w:ascii="Times New Roman" w:hAnsi="Times New Roman" w:eastAsia="宋体" w:cs="Times New Roman"/>
                <w:bCs/>
                <w:kern w:val="0"/>
                <w:sz w:val="18"/>
                <w:szCs w:val="18"/>
                <w:lang w:bidi="ar"/>
              </w:rPr>
              <w:t>1.45</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9</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生均校外实训基地实习时间（时/生）  </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960</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960</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10</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bidi="ar"/>
              </w:rPr>
            </w:pPr>
            <w:r>
              <w:rPr>
                <w:rFonts w:hint="eastAsia" w:ascii="宋体" w:hAnsi="宋体" w:eastAsia="宋体" w:cs="宋体"/>
                <w:color w:val="auto"/>
                <w:kern w:val="0"/>
                <w:sz w:val="21"/>
                <w:szCs w:val="21"/>
                <w:lang w:bidi="ar"/>
              </w:rPr>
              <w:t>企业订单学生所占比例（%）</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eastAsia" w:cs="Times New Roman"/>
                <w:bCs/>
                <w:kern w:val="0"/>
                <w:sz w:val="21"/>
                <w:szCs w:val="21"/>
                <w:lang w:val="en-US" w:eastAsia="zh-CN" w:bidi="ar"/>
              </w:rPr>
              <w:t>5.02</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eastAsia" w:cs="Times New Roman"/>
                <w:bCs/>
                <w:kern w:val="0"/>
                <w:sz w:val="21"/>
                <w:szCs w:val="21"/>
                <w:lang w:val="en-US" w:eastAsia="zh-CN" w:bidi="ar"/>
              </w:rPr>
              <w:t>13.29</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val="en-US" w:eastAsia="zh-CN" w:bidi="ar"/>
              </w:rPr>
            </w:pPr>
            <w:r>
              <w:rPr>
                <w:rFonts w:hint="default" w:ascii="Times New Roman" w:hAnsi="Times New Roman" w:eastAsia="宋体" w:cs="Times New Roman"/>
                <w:bCs/>
                <w:kern w:val="0"/>
                <w:sz w:val="21"/>
                <w:szCs w:val="21"/>
                <w:lang w:bidi="ar"/>
              </w:rPr>
              <w:t>+</w:t>
            </w:r>
            <w:r>
              <w:rPr>
                <w:rFonts w:hint="eastAsia" w:cs="Times New Roman"/>
                <w:bCs/>
                <w:kern w:val="0"/>
                <w:sz w:val="21"/>
                <w:szCs w:val="21"/>
                <w:lang w:val="en-US" w:eastAsia="zh-CN" w:bidi="ar"/>
              </w:rPr>
              <w:t>164.74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11</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支付企业兼职教师课酬（万元）</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264.46</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287.91</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12</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企业提供的校内实践教学设备值（万元）</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20</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13</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专业点学生分布（人/个）</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161</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167</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14</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专业与当地产业匹配度（招生数最多的前十个专业）（%）</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15</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招生计划完成质量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（1）统招计划报考上线率（%）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（2）第一志愿上线比例（%）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（3）自主招生计划报考率（%）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ar"/>
              </w:rPr>
              <w:t>（4）自主招生计划完成率（%）</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kern w:val="0"/>
                <w:sz w:val="21"/>
                <w:szCs w:val="21"/>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53.4</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28.4</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kern w:val="0"/>
                <w:sz w:val="21"/>
                <w:szCs w:val="21"/>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100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49.8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45.9</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kern w:val="0"/>
                <w:sz w:val="21"/>
                <w:szCs w:val="21"/>
                <w:lang w:bidi="ar"/>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0</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lang w:bidi="ar"/>
              </w:rPr>
            </w:pPr>
            <w:r>
              <w:rPr>
                <w:rFonts w:hint="default" w:ascii="Times New Roman" w:hAnsi="Times New Roman" w:eastAsia="宋体" w:cs="Times New Roman"/>
                <w:bCs/>
                <w:color w:val="auto"/>
                <w:kern w:val="0"/>
                <w:sz w:val="21"/>
                <w:szCs w:val="21"/>
                <w:lang w:bidi="ar"/>
              </w:rPr>
              <w:t>-6.7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Cs/>
                <w:kern w:val="0"/>
                <w:sz w:val="21"/>
                <w:szCs w:val="21"/>
                <w:lang w:bidi="ar"/>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16</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毕业生职业资格证书获取率（%）</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27.82</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34.43</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17</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毕业生直接就业率（%）</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97.55</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90.67</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18</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毕业生就业去向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（1）当地就业的比例（%）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（2）到中小微企业基层服务的比例（%）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（3）到 500 强企业就业的比例（%）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auto"/>
                <w:kern w:val="0"/>
                <w:sz w:val="18"/>
                <w:szCs w:val="18"/>
                <w:lang w:bidi="ar"/>
              </w:rPr>
              <w:t>（4）从事工作与所学专业相关的毕业生所占比例（%）</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rPr>
              <w:t>92.26</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rPr>
              <w:t>91.66</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rPr>
              <w:t>1.67</w:t>
            </w:r>
          </w:p>
          <w:p>
            <w:pPr>
              <w:pStyle w:val="2"/>
              <w:ind w:left="0" w:leftChars="0" w:firstLine="0" w:firstLineChars="0"/>
              <w:jc w:val="center"/>
              <w:rPr>
                <w:rFonts w:hint="default" w:ascii="Times New Roman" w:hAnsi="Times New Roman" w:eastAsia="宋体" w:cs="Times New Roman"/>
                <w:bCs/>
                <w:kern w:val="0"/>
                <w:sz w:val="21"/>
                <w:szCs w:val="21"/>
                <w:lang w:val="en-US" w:eastAsia="zh-CN" w:bidi="ar"/>
              </w:rPr>
            </w:pPr>
            <w:r>
              <w:rPr>
                <w:rFonts w:hint="eastAsia" w:cs="Times New Roman"/>
                <w:bCs/>
                <w:kern w:val="0"/>
                <w:sz w:val="21"/>
                <w:szCs w:val="21"/>
                <w:lang w:val="en-US" w:eastAsia="zh-CN" w:bidi="ar"/>
              </w:rPr>
              <w:t>87.11</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81.95</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82.78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3.1</w:t>
            </w:r>
          </w:p>
          <w:p>
            <w:pPr>
              <w:pStyle w:val="2"/>
              <w:ind w:left="0" w:leftChars="0" w:firstLine="0" w:firstLineChars="0"/>
              <w:jc w:val="center"/>
              <w:rPr>
                <w:rFonts w:hint="default" w:ascii="Times New Roman" w:hAnsi="Times New Roman" w:eastAsia="宋体" w:cs="Times New Roman"/>
                <w:lang w:val="en-US" w:eastAsia="zh-CN"/>
              </w:rPr>
            </w:pPr>
            <w:r>
              <w:rPr>
                <w:rFonts w:hint="eastAsia" w:cs="Times New Roman"/>
                <w:bCs/>
                <w:kern w:val="0"/>
                <w:sz w:val="21"/>
                <w:szCs w:val="21"/>
                <w:lang w:val="en-US" w:eastAsia="zh-CN" w:bidi="ar"/>
              </w:rPr>
              <w:t>55.11</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i w:val="0"/>
                <w:iCs w:val="0"/>
                <w:color w:val="auto"/>
              </w:rPr>
            </w:pPr>
            <w:r>
              <w:rPr>
                <w:rFonts w:hint="default" w:ascii="Times New Roman" w:hAnsi="Times New Roman" w:cs="Times New Roman"/>
                <w:b w:val="0"/>
                <w:bCs w:val="0"/>
                <w:i w:val="0"/>
                <w:iCs w:val="0"/>
                <w:color w:val="auto"/>
              </w:rPr>
              <w:t>-11.17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i w:val="0"/>
                <w:iCs w:val="0"/>
                <w:color w:val="auto"/>
              </w:rPr>
            </w:pPr>
            <w:r>
              <w:rPr>
                <w:rFonts w:hint="default" w:ascii="Times New Roman" w:hAnsi="Times New Roman" w:cs="Times New Roman"/>
                <w:b w:val="0"/>
                <w:bCs w:val="0"/>
                <w:i w:val="0"/>
                <w:iCs w:val="0"/>
                <w:color w:val="auto"/>
              </w:rPr>
              <w:t>-9.68</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+85.63</w:t>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bCs/>
                <w:color w:val="auto"/>
                <w:kern w:val="0"/>
                <w:sz w:val="21"/>
                <w:szCs w:val="21"/>
                <w:lang w:bidi="ar"/>
              </w:rPr>
              <w:t>-</w:t>
            </w:r>
            <w:r>
              <w:rPr>
                <w:rFonts w:hint="eastAsia" w:cs="Times New Roman"/>
                <w:lang w:val="en-US" w:eastAsia="zh-CN"/>
              </w:rPr>
              <w:t>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19</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政府购买服务到款额（万元）  </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C00000"/>
                <w:kern w:val="0"/>
                <w:sz w:val="21"/>
                <w:szCs w:val="21"/>
                <w:lang w:bidi="ar"/>
              </w:rPr>
            </w:pPr>
            <w:r>
              <w:rPr>
                <w:rFonts w:hint="default" w:ascii="Times New Roman" w:hAnsi="Times New Roman" w:eastAsia="宋体" w:cs="Times New Roman"/>
                <w:bCs/>
                <w:kern w:val="0"/>
                <w:sz w:val="21"/>
                <w:szCs w:val="21"/>
                <w:lang w:bidi="ar"/>
              </w:rPr>
              <w:t>0</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45</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kern w:val="0"/>
                <w:sz w:val="21"/>
                <w:szCs w:val="21"/>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20</w:t>
            </w:r>
          </w:p>
        </w:tc>
        <w:tc>
          <w:tcPr>
            <w:tcW w:w="4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auto"/>
                <w:kern w:val="0"/>
                <w:sz w:val="21"/>
                <w:szCs w:val="21"/>
                <w:lang w:bidi="ar"/>
              </w:rPr>
              <w:t>技术服务到款额（万元）</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20</w:t>
            </w:r>
          </w:p>
        </w:tc>
        <w:tc>
          <w:tcPr>
            <w:tcW w:w="1209"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22.1</w:t>
            </w:r>
          </w:p>
        </w:tc>
        <w:tc>
          <w:tcPr>
            <w:tcW w:w="132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C00000"/>
                <w:kern w:val="0"/>
                <w:sz w:val="21"/>
                <w:szCs w:val="21"/>
                <w:lang w:val="en-US" w:eastAsia="zh-CN" w:bidi="ar"/>
              </w:rPr>
            </w:pPr>
            <w:r>
              <w:rPr>
                <w:rFonts w:hint="default" w:ascii="Times New Roman" w:hAnsi="Times New Roman" w:cs="Times New Roman"/>
                <w:color w:val="auto"/>
              </w:rPr>
              <w:t>+</w:t>
            </w:r>
            <w:r>
              <w:rPr>
                <w:rFonts w:hint="eastAsia" w:cs="Times New Roman"/>
                <w:bCs/>
                <w:color w:val="auto"/>
                <w:kern w:val="0"/>
                <w:sz w:val="21"/>
                <w:szCs w:val="21"/>
                <w:lang w:val="en-US" w:eastAsia="zh-CN" w:bidi="ar"/>
              </w:rPr>
              <w:t>10.5</w:t>
            </w:r>
          </w:p>
        </w:tc>
      </w:tr>
    </w:tbl>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注：1.本表及自评报告中数据，除个别依据实际情况调整外，均来源于“高职院校人才培养工作状态数据采集与管理平台”</w:t>
      </w:r>
    </w:p>
    <w:p>
      <w:pPr>
        <w:ind w:firstLine="300" w:firstLineChars="20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2.数据所属时间为 2018 年 9 月1日至 2019 年 8月31 日 </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1数据显示，学校适应社会需求能力的20个评估指标，大部分都比上一评估时期有明显提高，主要体现在教学设备投入、信息化建设、实践教学建设、“双师型”教师培养，以及招生就业工作力度、提高技术服务等方面。但是，纵向相比生均财政拨款水平、生均教学及行政办公用房面积、信息化教学接入互联网出口带宽、生师比指标、自主招生报考率，以及毕业生直接就业率和到中小微企业就业比例等指标，与上一评估期相比却有所下降，这是一个值得关注的问题，需要我们在这些方面投入精力和财力加以解决。</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eastAsia="宋体" w:cs="宋体"/>
          <w:b/>
          <w:bCs/>
          <w:sz w:val="28"/>
          <w:szCs w:val="28"/>
        </w:rPr>
      </w:pPr>
      <w:bookmarkStart w:id="4" w:name="_Toc715"/>
      <w:r>
        <w:rPr>
          <w:rFonts w:hint="eastAsia" w:ascii="宋体" w:hAnsi="宋体" w:eastAsia="宋体" w:cs="宋体"/>
          <w:b/>
          <w:bCs/>
          <w:color w:val="000000"/>
          <w:kern w:val="0"/>
          <w:sz w:val="28"/>
          <w:szCs w:val="28"/>
          <w:lang w:bidi="ar"/>
        </w:rPr>
        <w:t>二、办学基础能力分析</w:t>
      </w:r>
      <w:bookmarkEnd w:id="4"/>
      <w:r>
        <w:rPr>
          <w:rFonts w:hint="eastAsia" w:ascii="宋体" w:hAnsi="宋体" w:eastAsia="宋体" w:cs="宋体"/>
          <w:b/>
          <w:bCs/>
          <w:color w:val="000000"/>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000000"/>
          <w:kern w:val="0"/>
          <w:sz w:val="28"/>
          <w:szCs w:val="28"/>
          <w:lang w:bidi="ar"/>
        </w:rPr>
      </w:pPr>
      <w:bookmarkStart w:id="5" w:name="_Toc8386"/>
      <w:r>
        <w:rPr>
          <w:rFonts w:hint="eastAsia" w:ascii="宋体" w:hAnsi="宋体" w:eastAsia="宋体" w:cs="宋体"/>
          <w:b/>
          <w:bCs/>
          <w:color w:val="000000"/>
          <w:kern w:val="0"/>
          <w:sz w:val="28"/>
          <w:szCs w:val="28"/>
          <w:lang w:bidi="ar"/>
        </w:rPr>
        <w:t>（一）生均财政拨款水平</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两年，学校办学规模扩大，政府对学校的投入逐年增加,学校拥有较为充足的办学经费。2019年学校办学经费总收入35542.16万元，比2017年增长123.84%，国家财政性教育经费投入188404.01万元，比2017年增长163.41%。国家财政性教育经费投入总额逐年上涨，但是，由于学校生源规模也在逐年同步上涨，出现了国家财政性教育经费投入的生均水平稍有下降的现象。（见表2）</w:t>
      </w:r>
    </w:p>
    <w:p>
      <w:pPr>
        <w:widowControl/>
        <w:spacing w:line="360" w:lineRule="auto"/>
        <w:ind w:firstLine="236" w:firstLineChars="98"/>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表2   2017～2019 年度学校院办学经费情况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336"/>
        <w:gridCol w:w="1004"/>
        <w:gridCol w:w="100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序号</w:t>
            </w:r>
          </w:p>
        </w:tc>
        <w:tc>
          <w:tcPr>
            <w:tcW w:w="4356"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指标名称</w:t>
            </w:r>
          </w:p>
        </w:tc>
        <w:tc>
          <w:tcPr>
            <w:tcW w:w="992"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2017年指标值</w:t>
            </w:r>
          </w:p>
        </w:tc>
        <w:tc>
          <w:tcPr>
            <w:tcW w:w="992"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2019年指标值</w:t>
            </w:r>
          </w:p>
        </w:tc>
        <w:tc>
          <w:tcPr>
            <w:tcW w:w="1468"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widowControl/>
              <w:spacing w:line="360" w:lineRule="auto"/>
              <w:jc w:val="center"/>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1</w:t>
            </w:r>
          </w:p>
        </w:tc>
        <w:tc>
          <w:tcPr>
            <w:tcW w:w="4356" w:type="dxa"/>
            <w:vAlign w:val="center"/>
          </w:tcPr>
          <w:p>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经费总收入（万元）</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15878.34</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35542.16</w:t>
            </w:r>
          </w:p>
        </w:tc>
        <w:tc>
          <w:tcPr>
            <w:tcW w:w="1468" w:type="dxa"/>
            <w:vAlign w:val="center"/>
          </w:tcPr>
          <w:p>
            <w:pPr>
              <w:widowControl/>
              <w:spacing w:line="360" w:lineRule="auto"/>
              <w:jc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widowControl/>
              <w:spacing w:line="360" w:lineRule="auto"/>
              <w:jc w:val="center"/>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2</w:t>
            </w:r>
          </w:p>
        </w:tc>
        <w:tc>
          <w:tcPr>
            <w:tcW w:w="4356" w:type="dxa"/>
            <w:vAlign w:val="center"/>
          </w:tcPr>
          <w:p>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国家财政性教育经费投入（万元）  </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6986.72</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18404.01</w:t>
            </w:r>
          </w:p>
        </w:tc>
        <w:tc>
          <w:tcPr>
            <w:tcW w:w="1468" w:type="dxa"/>
            <w:vAlign w:val="center"/>
          </w:tcPr>
          <w:p>
            <w:pPr>
              <w:widowControl/>
              <w:spacing w:line="360" w:lineRule="auto"/>
              <w:jc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widowControl/>
              <w:spacing w:line="360" w:lineRule="auto"/>
              <w:jc w:val="center"/>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3</w:t>
            </w:r>
          </w:p>
        </w:tc>
        <w:tc>
          <w:tcPr>
            <w:tcW w:w="4356" w:type="dxa"/>
            <w:vAlign w:val="center"/>
          </w:tcPr>
          <w:p>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生均国家财政性教育经费投入（元/生）</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13110.75</w:t>
            </w:r>
          </w:p>
        </w:tc>
        <w:tc>
          <w:tcPr>
            <w:tcW w:w="992" w:type="dxa"/>
            <w:vAlign w:val="center"/>
          </w:tcPr>
          <w:p>
            <w:pPr>
              <w:widowControl/>
              <w:spacing w:line="360" w:lineRule="auto"/>
              <w:jc w:val="center"/>
              <w:rPr>
                <w:rFonts w:ascii="Times New Roman" w:hAnsi="Times New Roman" w:eastAsia="仿宋_GB2312" w:cs="Times New Roman"/>
                <w:bCs/>
                <w:kern w:val="0"/>
                <w:szCs w:val="21"/>
                <w:lang w:bidi="ar"/>
              </w:rPr>
            </w:pPr>
            <w:r>
              <w:rPr>
                <w:rFonts w:ascii="Times New Roman" w:hAnsi="Times New Roman" w:eastAsia="仿宋_GB2312" w:cs="Times New Roman"/>
                <w:bCs/>
                <w:kern w:val="0"/>
                <w:szCs w:val="21"/>
                <w:lang w:bidi="ar"/>
              </w:rPr>
              <w:t>12857</w:t>
            </w:r>
          </w:p>
        </w:tc>
        <w:tc>
          <w:tcPr>
            <w:tcW w:w="1468" w:type="dxa"/>
            <w:vAlign w:val="center"/>
          </w:tcPr>
          <w:p>
            <w:pPr>
              <w:widowControl/>
              <w:spacing w:line="360" w:lineRule="auto"/>
              <w:jc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-1.94</w:t>
            </w:r>
          </w:p>
        </w:tc>
      </w:tr>
    </w:tbl>
    <w:p>
      <w:pPr>
        <w:widowControl/>
        <w:spacing w:line="360" w:lineRule="auto"/>
        <w:ind w:firstLine="236" w:firstLineChars="98"/>
        <w:jc w:val="center"/>
        <w:rPr>
          <w:rFonts w:hint="eastAsia" w:ascii="宋体" w:hAnsi="宋体" w:eastAsia="宋体" w:cs="宋体"/>
          <w:b/>
          <w:color w:val="000000"/>
          <w:kern w:val="0"/>
          <w:sz w:val="24"/>
          <w:szCs w:val="24"/>
          <w:lang w:bidi="ar"/>
        </w:rPr>
      </w:pPr>
    </w:p>
    <w:p>
      <w:pPr>
        <w:widowControl/>
        <w:spacing w:line="360" w:lineRule="auto"/>
        <w:ind w:firstLine="236" w:firstLineChars="98"/>
        <w:jc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4"/>
          <w:szCs w:val="24"/>
          <w:lang w:bidi="ar"/>
        </w:rPr>
        <w:t>表3   2019 年学校生均财政拨款与全国</w:t>
      </w:r>
      <w:r>
        <w:rPr>
          <w:rFonts w:hint="eastAsia" w:ascii="宋体" w:hAnsi="宋体" w:eastAsia="宋体" w:cs="宋体"/>
          <w:b/>
          <w:kern w:val="0"/>
          <w:sz w:val="24"/>
          <w:szCs w:val="24"/>
          <w:lang w:bidi="ar"/>
        </w:rPr>
        <w:t>同类院校</w:t>
      </w:r>
      <w:r>
        <w:rPr>
          <w:rFonts w:hint="eastAsia" w:ascii="宋体" w:hAnsi="宋体" w:eastAsia="宋体" w:cs="宋体"/>
          <w:b/>
          <w:color w:val="000000"/>
          <w:kern w:val="0"/>
          <w:sz w:val="24"/>
          <w:szCs w:val="24"/>
          <w:lang w:bidi="ar"/>
        </w:rPr>
        <w:t>分析比较分析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1584"/>
        <w:gridCol w:w="1417"/>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widowControl/>
              <w:ind w:firstLine="1240" w:firstLineChars="588"/>
              <w:jc w:val="left"/>
              <w:rPr>
                <w:rFonts w:ascii="宋体" w:hAnsi="宋体" w:eastAsia="宋体" w:cs="宋体"/>
                <w:b/>
                <w:color w:val="000000"/>
                <w:kern w:val="0"/>
                <w:szCs w:val="21"/>
                <w:lang w:bidi="ar"/>
              </w:rPr>
            </w:pPr>
            <w:r>
              <w:rPr>
                <w:rFonts w:hint="eastAsia" w:ascii="宋体" w:hAnsi="宋体" w:eastAsia="宋体" w:cs="宋体"/>
                <w:b/>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-53975</wp:posOffset>
                      </wp:positionH>
                      <wp:positionV relativeFrom="paragraph">
                        <wp:posOffset>3175</wp:posOffset>
                      </wp:positionV>
                      <wp:extent cx="1743710" cy="386715"/>
                      <wp:effectExtent l="1270" t="4445" r="7620" b="889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1743710" cy="38671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4.25pt;margin-top:0.25pt;height:30.45pt;width:137.3pt;z-index:251672576;mso-width-relative:page;mso-height-relative:page;" filled="f" stroked="t" coordsize="21600,21600" o:gfxdata="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84B&#10;RtUAAAAGAQAADwAAAAAAAAABACAAAAAiAAAAZHJzL2Rvd25yZXYueG1sUEsBAhQAFAAAAAgAh07i&#10;QL3+rYjsAQAAkAMAAA4AAAAAAAAAAQAgAAAAJAEAAGRycy9lMm9Eb2MueG1sUEsFBgAAAAAGAAYA&#10;WQEAAIIFAAAAAA==&#10;">
                      <v:fill on="f" focussize="0,0"/>
                      <v:stroke color="#000000" joinstyle="round"/>
                      <v:imagedata o:title=""/>
                      <o:lock v:ext="edit" aspectratio="f"/>
                    </v:shape>
                  </w:pict>
                </mc:Fallback>
              </mc:AlternateContent>
            </w:r>
            <w:r>
              <w:rPr>
                <w:rFonts w:hint="eastAsia" w:ascii="宋体" w:hAnsi="宋体" w:eastAsia="宋体" w:cs="宋体"/>
                <w:b/>
                <w:color w:val="000000"/>
                <w:kern w:val="0"/>
                <w:szCs w:val="21"/>
                <w:lang w:bidi="ar"/>
              </w:rPr>
              <w:t>项目</w:t>
            </w:r>
          </w:p>
          <w:p>
            <w:pPr>
              <w:widowControl/>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比较指标</w:t>
            </w:r>
          </w:p>
        </w:tc>
        <w:tc>
          <w:tcPr>
            <w:tcW w:w="1584" w:type="dxa"/>
            <w:vAlign w:val="center"/>
          </w:tcPr>
          <w:p>
            <w:pPr>
              <w:widowControl/>
              <w:spacing w:line="360" w:lineRule="auto"/>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学校指标值</w:t>
            </w:r>
          </w:p>
        </w:tc>
        <w:tc>
          <w:tcPr>
            <w:tcW w:w="1417" w:type="dxa"/>
            <w:vAlign w:val="center"/>
          </w:tcPr>
          <w:p>
            <w:pPr>
              <w:widowControl/>
              <w:jc w:val="center"/>
              <w:rPr>
                <w:rFonts w:ascii="宋体" w:hAnsi="宋体" w:eastAsia="宋体" w:cs="宋体"/>
                <w:b/>
                <w:kern w:val="0"/>
                <w:szCs w:val="21"/>
                <w:lang w:bidi="ar"/>
              </w:rPr>
            </w:pPr>
            <w:r>
              <w:rPr>
                <w:rFonts w:hint="eastAsia" w:ascii="宋体" w:hAnsi="宋体" w:eastAsia="宋体" w:cs="宋体"/>
                <w:b/>
                <w:kern w:val="0"/>
                <w:szCs w:val="21"/>
                <w:lang w:bidi="ar"/>
              </w:rPr>
              <w:t>全国</w:t>
            </w:r>
          </w:p>
          <w:p>
            <w:pPr>
              <w:widowControl/>
              <w:jc w:val="center"/>
              <w:rPr>
                <w:rFonts w:ascii="宋体" w:hAnsi="宋体" w:eastAsia="宋体" w:cs="宋体"/>
                <w:b/>
                <w:kern w:val="0"/>
                <w:szCs w:val="21"/>
                <w:lang w:bidi="ar"/>
              </w:rPr>
            </w:pPr>
            <w:r>
              <w:rPr>
                <w:rFonts w:hint="eastAsia" w:ascii="宋体" w:hAnsi="宋体" w:eastAsia="宋体" w:cs="宋体"/>
                <w:b/>
                <w:kern w:val="0"/>
                <w:szCs w:val="21"/>
                <w:lang w:bidi="ar"/>
              </w:rPr>
              <w:t>中位数</w:t>
            </w:r>
          </w:p>
        </w:tc>
        <w:tc>
          <w:tcPr>
            <w:tcW w:w="1276" w:type="dxa"/>
            <w:vAlign w:val="center"/>
          </w:tcPr>
          <w:p>
            <w:pPr>
              <w:widowControl/>
              <w:jc w:val="center"/>
              <w:rPr>
                <w:rFonts w:ascii="宋体" w:hAnsi="宋体" w:eastAsia="宋体" w:cs="宋体"/>
                <w:b/>
                <w:kern w:val="0"/>
                <w:szCs w:val="21"/>
                <w:lang w:bidi="ar"/>
              </w:rPr>
            </w:pPr>
            <w:r>
              <w:rPr>
                <w:rFonts w:hint="eastAsia" w:ascii="宋体" w:hAnsi="宋体" w:eastAsia="宋体" w:cs="宋体"/>
                <w:b/>
                <w:kern w:val="0"/>
                <w:szCs w:val="21"/>
                <w:lang w:bidi="ar"/>
              </w:rPr>
              <w:t>全国同类</w:t>
            </w:r>
          </w:p>
          <w:p>
            <w:pPr>
              <w:widowControl/>
              <w:jc w:val="center"/>
              <w:rPr>
                <w:rFonts w:ascii="宋体" w:hAnsi="宋体" w:eastAsia="宋体" w:cs="宋体"/>
                <w:kern w:val="0"/>
                <w:sz w:val="24"/>
                <w:szCs w:val="24"/>
                <w:lang w:bidi="ar"/>
              </w:rPr>
            </w:pPr>
            <w:r>
              <w:rPr>
                <w:rFonts w:hint="eastAsia" w:ascii="宋体" w:hAnsi="宋体" w:eastAsia="宋体" w:cs="宋体"/>
                <w:b/>
                <w:kern w:val="0"/>
                <w:szCs w:val="21"/>
                <w:lang w:bidi="ar"/>
              </w:rPr>
              <w:t>中位数</w:t>
            </w:r>
          </w:p>
        </w:tc>
        <w:tc>
          <w:tcPr>
            <w:tcW w:w="1326" w:type="dxa"/>
            <w:vAlign w:val="center"/>
          </w:tcPr>
          <w:p>
            <w:pPr>
              <w:widowControl/>
              <w:jc w:val="center"/>
              <w:rPr>
                <w:rFonts w:ascii="宋体" w:hAnsi="宋体" w:eastAsia="宋体" w:cs="宋体"/>
                <w:b/>
                <w:kern w:val="0"/>
                <w:szCs w:val="21"/>
                <w:lang w:bidi="ar"/>
              </w:rPr>
            </w:pPr>
            <w:r>
              <w:rPr>
                <w:rFonts w:hint="eastAsia" w:ascii="宋体" w:hAnsi="宋体" w:eastAsia="宋体" w:cs="宋体"/>
                <w:b/>
                <w:kern w:val="0"/>
                <w:szCs w:val="21"/>
                <w:lang w:bidi="ar"/>
              </w:rPr>
              <w:t>陕西省</w:t>
            </w:r>
          </w:p>
          <w:p>
            <w:pPr>
              <w:widowControl/>
              <w:jc w:val="center"/>
              <w:rPr>
                <w:rFonts w:ascii="宋体" w:hAnsi="宋体" w:eastAsia="宋体" w:cs="宋体"/>
                <w:kern w:val="0"/>
                <w:sz w:val="24"/>
                <w:szCs w:val="24"/>
                <w:lang w:bidi="ar"/>
              </w:rPr>
            </w:pPr>
            <w:r>
              <w:rPr>
                <w:rFonts w:hint="eastAsia" w:ascii="宋体" w:hAnsi="宋体" w:eastAsia="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19"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年生均财政拨款水平（元/生）</w:t>
            </w:r>
          </w:p>
        </w:tc>
        <w:tc>
          <w:tcPr>
            <w:tcW w:w="1584"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12857</w:t>
            </w:r>
          </w:p>
        </w:tc>
        <w:tc>
          <w:tcPr>
            <w:tcW w:w="141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21252.96</w:t>
            </w:r>
          </w:p>
        </w:tc>
        <w:tc>
          <w:tcPr>
            <w:tcW w:w="127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20942.25</w:t>
            </w:r>
          </w:p>
        </w:tc>
        <w:tc>
          <w:tcPr>
            <w:tcW w:w="132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21074.13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本校与其他院校的增减率（%）</w:t>
            </w:r>
          </w:p>
        </w:tc>
        <w:tc>
          <w:tcPr>
            <w:tcW w:w="1584" w:type="dxa"/>
            <w:vAlign w:val="center"/>
          </w:tcPr>
          <w:p>
            <w:pPr>
              <w:widowControl/>
              <w:spacing w:line="360" w:lineRule="auto"/>
              <w:jc w:val="center"/>
              <w:rPr>
                <w:rFonts w:ascii="Times New Roman" w:hAnsi="Times New Roman" w:eastAsia="黑体" w:cs="Times New Roman"/>
                <w:color w:val="000000"/>
                <w:kern w:val="0"/>
                <w:sz w:val="24"/>
                <w:szCs w:val="24"/>
                <w:lang w:bidi="ar"/>
              </w:rPr>
            </w:pPr>
            <w:r>
              <w:rPr>
                <w:rFonts w:hint="eastAsia" w:ascii="Times New Roman" w:hAnsi="Times New Roman" w:eastAsia="黑体" w:cs="Times New Roman"/>
                <w:color w:val="000000"/>
                <w:kern w:val="0"/>
                <w:sz w:val="24"/>
                <w:szCs w:val="24"/>
                <w:lang w:bidi="ar"/>
              </w:rPr>
              <w:t>0</w:t>
            </w:r>
          </w:p>
        </w:tc>
        <w:tc>
          <w:tcPr>
            <w:tcW w:w="1417" w:type="dxa"/>
            <w:vAlign w:val="center"/>
          </w:tcPr>
          <w:p>
            <w:pPr>
              <w:widowControl/>
              <w:spacing w:line="360" w:lineRule="auto"/>
              <w:jc w:val="center"/>
              <w:rPr>
                <w:rFonts w:ascii="Times New Roman" w:hAnsi="Times New Roman" w:eastAsia="黑体" w:cs="Times New Roman"/>
                <w:color w:val="000000"/>
                <w:kern w:val="0"/>
                <w:sz w:val="24"/>
                <w:szCs w:val="24"/>
                <w:lang w:bidi="ar"/>
              </w:rPr>
            </w:pPr>
            <w:r>
              <w:rPr>
                <w:rFonts w:hint="eastAsia" w:ascii="Times New Roman" w:hAnsi="Times New Roman" w:eastAsia="黑体" w:cs="Times New Roman"/>
                <w:color w:val="000000"/>
                <w:kern w:val="0"/>
                <w:sz w:val="24"/>
                <w:szCs w:val="24"/>
                <w:lang w:bidi="ar"/>
              </w:rPr>
              <w:t>-39.50</w:t>
            </w:r>
          </w:p>
        </w:tc>
        <w:tc>
          <w:tcPr>
            <w:tcW w:w="1276" w:type="dxa"/>
            <w:vAlign w:val="center"/>
          </w:tcPr>
          <w:p>
            <w:pPr>
              <w:widowControl/>
              <w:spacing w:line="360" w:lineRule="auto"/>
              <w:jc w:val="center"/>
              <w:rPr>
                <w:rFonts w:ascii="Times New Roman" w:hAnsi="Times New Roman" w:eastAsia="黑体" w:cs="Times New Roman"/>
                <w:color w:val="000000"/>
                <w:kern w:val="0"/>
                <w:sz w:val="24"/>
                <w:szCs w:val="24"/>
                <w:lang w:bidi="ar"/>
              </w:rPr>
            </w:pPr>
            <w:r>
              <w:rPr>
                <w:rFonts w:hint="eastAsia" w:ascii="Times New Roman" w:hAnsi="Times New Roman" w:eastAsia="黑体" w:cs="Times New Roman"/>
                <w:color w:val="000000"/>
                <w:kern w:val="0"/>
                <w:sz w:val="24"/>
                <w:szCs w:val="24"/>
                <w:lang w:bidi="ar"/>
              </w:rPr>
              <w:t>-38.61</w:t>
            </w:r>
          </w:p>
        </w:tc>
        <w:tc>
          <w:tcPr>
            <w:tcW w:w="1326" w:type="dxa"/>
            <w:vAlign w:val="center"/>
          </w:tcPr>
          <w:p>
            <w:pPr>
              <w:widowControl/>
              <w:spacing w:line="360" w:lineRule="auto"/>
              <w:jc w:val="center"/>
              <w:rPr>
                <w:rFonts w:ascii="Times New Roman" w:hAnsi="Times New Roman" w:eastAsia="黑体" w:cs="Times New Roman"/>
                <w:color w:val="000000"/>
                <w:kern w:val="0"/>
                <w:sz w:val="24"/>
                <w:szCs w:val="24"/>
                <w:lang w:bidi="ar"/>
              </w:rPr>
            </w:pPr>
            <w:r>
              <w:rPr>
                <w:rFonts w:hint="eastAsia" w:ascii="Times New Roman" w:hAnsi="Times New Roman" w:eastAsia="黑体" w:cs="Times New Roman"/>
                <w:color w:val="000000"/>
                <w:kern w:val="0"/>
                <w:sz w:val="24"/>
                <w:szCs w:val="24"/>
                <w:lang w:bidi="ar"/>
              </w:rPr>
              <w:t>-38.99</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表3的数据对比看出，目前学校生均财政拨款低于全国中位数、全国同类院校中位水平，也低于省内高职院校中位水平，主要原因是由于财政性教育经费投入更侧重于加大对国家及省级示范性院校“四个一流”建设及“双高”院校专业等方面的投入，我校需继续扩大办学规模，大力加强办学软硬件投入和内涵式发展，进一步提高专业教学水平，并加大“四个一流”建设和省级“双高”建设，以争取更多政府财政性教育经费投入。</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000000" w:themeColor="text1"/>
          <w:kern w:val="0"/>
          <w:sz w:val="28"/>
          <w:szCs w:val="28"/>
          <w:lang w:bidi="ar"/>
          <w14:textFill>
            <w14:solidFill>
              <w14:schemeClr w14:val="tx1"/>
            </w14:solidFill>
          </w14:textFill>
        </w:rPr>
      </w:pPr>
      <w:bookmarkStart w:id="6" w:name="_Toc28058"/>
      <w:r>
        <w:rPr>
          <w:rFonts w:hint="eastAsia" w:ascii="宋体" w:hAnsi="宋体" w:eastAsia="宋体" w:cs="宋体"/>
          <w:b/>
          <w:bCs/>
          <w:color w:val="000000" w:themeColor="text1"/>
          <w:kern w:val="0"/>
          <w:sz w:val="28"/>
          <w:szCs w:val="28"/>
          <w:lang w:bidi="ar"/>
          <w14:textFill>
            <w14:solidFill>
              <w14:schemeClr w14:val="tx1"/>
            </w14:solidFill>
          </w14:textFill>
        </w:rPr>
        <w:t>（二）教学仪器设备配置</w:t>
      </w:r>
      <w:bookmarkEnd w:id="6"/>
    </w:p>
    <w:p>
      <w:pPr>
        <w:widowControl/>
        <w:spacing w:line="360" w:lineRule="auto"/>
        <w:ind w:firstLine="236" w:firstLineChars="98"/>
        <w:jc w:val="center"/>
        <w:rPr>
          <w:rFonts w:hint="eastAsia" w:ascii="宋体" w:hAnsi="宋体" w:eastAsia="宋体" w:cs="宋体"/>
          <w:b/>
          <w:color w:val="000000" w:themeColor="text1"/>
          <w:kern w:val="0"/>
          <w:sz w:val="24"/>
          <w:szCs w:val="24"/>
          <w:lang w:bidi="ar"/>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表4   2017～2019 年学</w:t>
      </w:r>
      <w:r>
        <w:rPr>
          <w:rFonts w:hint="eastAsia" w:ascii="宋体" w:hAnsi="宋体" w:eastAsia="宋体" w:cs="宋体"/>
          <w:b/>
          <w:color w:val="000000" w:themeColor="text1"/>
          <w:kern w:val="0"/>
          <w:sz w:val="24"/>
          <w:szCs w:val="24"/>
          <w:lang w:val="en-US" w:eastAsia="zh-CN" w:bidi="ar"/>
          <w14:textFill>
            <w14:solidFill>
              <w14:schemeClr w14:val="tx1"/>
            </w14:solidFill>
          </w14:textFill>
        </w:rPr>
        <w:t>校</w:t>
      </w:r>
      <w:r>
        <w:rPr>
          <w:rFonts w:hint="eastAsia" w:ascii="宋体" w:hAnsi="宋体" w:eastAsia="宋体" w:cs="宋体"/>
          <w:b/>
          <w:color w:val="000000" w:themeColor="text1"/>
          <w:kern w:val="0"/>
          <w:sz w:val="24"/>
          <w:szCs w:val="24"/>
          <w:lang w:bidi="ar"/>
          <w14:textFill>
            <w14:solidFill>
              <w14:schemeClr w14:val="tx1"/>
            </w14:solidFill>
          </w14:textFill>
        </w:rPr>
        <w:t>教学仪器设备配置情况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347"/>
        <w:gridCol w:w="992"/>
        <w:gridCol w:w="100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序号</w:t>
            </w:r>
          </w:p>
        </w:tc>
        <w:tc>
          <w:tcPr>
            <w:tcW w:w="4356" w:type="dxa"/>
            <w:noWrap w:val="0"/>
            <w:vAlign w:val="center"/>
          </w:tcPr>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指标名称</w:t>
            </w:r>
          </w:p>
        </w:tc>
        <w:tc>
          <w:tcPr>
            <w:tcW w:w="992"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2017年指标值</w:t>
            </w:r>
          </w:p>
        </w:tc>
        <w:tc>
          <w:tcPr>
            <w:tcW w:w="992"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 xml:space="preserve">2019年指标值 </w:t>
            </w:r>
          </w:p>
        </w:tc>
        <w:tc>
          <w:tcPr>
            <w:tcW w:w="1468"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widowControl/>
              <w:spacing w:line="360" w:lineRule="auto"/>
              <w:jc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1</w:t>
            </w:r>
          </w:p>
        </w:tc>
        <w:tc>
          <w:tcPr>
            <w:tcW w:w="4356" w:type="dxa"/>
            <w:noWrap w:val="0"/>
            <w:vAlign w:val="center"/>
          </w:tcPr>
          <w:p>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生均教学仪器设备值（元）</w:t>
            </w:r>
          </w:p>
        </w:tc>
        <w:tc>
          <w:tcPr>
            <w:tcW w:w="992" w:type="dxa"/>
            <w:noWrap w:val="0"/>
            <w:vAlign w:val="top"/>
          </w:tcPr>
          <w:p>
            <w:pPr>
              <w:widowControl/>
              <w:spacing w:line="360" w:lineRule="auto"/>
              <w:jc w:val="center"/>
              <w:rPr>
                <w:bCs/>
                <w:kern w:val="0"/>
                <w:szCs w:val="21"/>
                <w:lang w:bidi="ar"/>
              </w:rPr>
            </w:pPr>
            <w:r>
              <w:rPr>
                <w:bCs/>
                <w:kern w:val="0"/>
                <w:szCs w:val="21"/>
                <w:lang w:bidi="ar"/>
              </w:rPr>
              <w:t>5125.83</w:t>
            </w:r>
          </w:p>
        </w:tc>
        <w:tc>
          <w:tcPr>
            <w:tcW w:w="992" w:type="dxa"/>
            <w:noWrap w:val="0"/>
            <w:vAlign w:val="top"/>
          </w:tcPr>
          <w:p>
            <w:pPr>
              <w:widowControl/>
              <w:spacing w:line="360" w:lineRule="auto"/>
              <w:jc w:val="center"/>
              <w:rPr>
                <w:bCs/>
                <w:kern w:val="0"/>
                <w:szCs w:val="21"/>
                <w:lang w:bidi="ar"/>
              </w:rPr>
            </w:pPr>
            <w:r>
              <w:rPr>
                <w:bCs/>
                <w:kern w:val="0"/>
                <w:szCs w:val="21"/>
                <w:lang w:bidi="ar"/>
              </w:rPr>
              <w:t>19663.31</w:t>
            </w:r>
          </w:p>
        </w:tc>
        <w:tc>
          <w:tcPr>
            <w:tcW w:w="1468" w:type="dxa"/>
            <w:noWrap w:val="0"/>
            <w:vAlign w:val="top"/>
          </w:tcPr>
          <w:p>
            <w:pPr>
              <w:widowControl/>
              <w:spacing w:line="360" w:lineRule="auto"/>
              <w:jc w:val="center"/>
              <w:rPr>
                <w:bCs/>
                <w:kern w:val="0"/>
                <w:szCs w:val="21"/>
                <w:lang w:bidi="ar"/>
              </w:rPr>
            </w:pPr>
            <w:r>
              <w:rPr>
                <w:rFonts w:hint="eastAsia"/>
                <w:bCs/>
                <w:kern w:val="0"/>
                <w:szCs w:val="21"/>
                <w:lang w:bidi="ar"/>
              </w:rPr>
              <w:t>+283.61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widowControl/>
              <w:spacing w:line="360" w:lineRule="auto"/>
              <w:jc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2</w:t>
            </w:r>
          </w:p>
        </w:tc>
        <w:tc>
          <w:tcPr>
            <w:tcW w:w="4356" w:type="dxa"/>
            <w:noWrap w:val="0"/>
            <w:vAlign w:val="center"/>
          </w:tcPr>
          <w:p>
            <w:pPr>
              <w:widowControl/>
              <w:rPr>
                <w:rFonts w:hint="eastAsia" w:ascii="宋体" w:hAnsi="宋体" w:cs="宋体"/>
                <w:color w:val="000000"/>
                <w:kern w:val="0"/>
                <w:szCs w:val="21"/>
                <w:lang w:bidi="ar"/>
              </w:rPr>
            </w:pPr>
            <w:r>
              <w:rPr>
                <w:rFonts w:hint="eastAsia" w:ascii="宋体" w:hAnsi="宋体" w:cs="宋体"/>
                <w:color w:val="auto"/>
                <w:kern w:val="0"/>
                <w:szCs w:val="21"/>
                <w:lang w:bidi="ar"/>
              </w:rPr>
              <w:t>生均（折合）图书（册/生）</w:t>
            </w:r>
          </w:p>
        </w:tc>
        <w:tc>
          <w:tcPr>
            <w:tcW w:w="992" w:type="dxa"/>
            <w:noWrap w:val="0"/>
            <w:vAlign w:val="top"/>
          </w:tcPr>
          <w:p>
            <w:pPr>
              <w:widowControl/>
              <w:spacing w:line="360" w:lineRule="auto"/>
              <w:jc w:val="center"/>
              <w:rPr>
                <w:rFonts w:hint="default"/>
                <w:bCs/>
                <w:kern w:val="0"/>
                <w:szCs w:val="21"/>
                <w:lang w:val="en-US" w:eastAsia="zh-CN" w:bidi="ar"/>
              </w:rPr>
            </w:pPr>
            <w:r>
              <w:rPr>
                <w:rFonts w:hint="eastAsia"/>
                <w:bCs/>
                <w:kern w:val="0"/>
                <w:szCs w:val="21"/>
                <w:lang w:val="en-US" w:eastAsia="zh-CN" w:bidi="ar"/>
              </w:rPr>
              <w:t>43.9</w:t>
            </w:r>
          </w:p>
        </w:tc>
        <w:tc>
          <w:tcPr>
            <w:tcW w:w="992" w:type="dxa"/>
            <w:noWrap w:val="0"/>
            <w:vAlign w:val="top"/>
          </w:tcPr>
          <w:p>
            <w:pPr>
              <w:widowControl/>
              <w:spacing w:line="360" w:lineRule="auto"/>
              <w:jc w:val="center"/>
              <w:rPr>
                <w:rFonts w:hint="default"/>
                <w:bCs/>
                <w:kern w:val="0"/>
                <w:szCs w:val="21"/>
                <w:lang w:val="en-US" w:eastAsia="zh-CN" w:bidi="ar"/>
              </w:rPr>
            </w:pPr>
            <w:r>
              <w:rPr>
                <w:rFonts w:hint="eastAsia"/>
                <w:bCs/>
                <w:kern w:val="0"/>
                <w:szCs w:val="21"/>
                <w:lang w:val="en-US" w:eastAsia="zh-CN" w:bidi="ar"/>
              </w:rPr>
              <w:t>55.8</w:t>
            </w:r>
          </w:p>
        </w:tc>
        <w:tc>
          <w:tcPr>
            <w:tcW w:w="1468" w:type="dxa"/>
            <w:noWrap w:val="0"/>
            <w:vAlign w:val="top"/>
          </w:tcPr>
          <w:p>
            <w:pPr>
              <w:widowControl/>
              <w:spacing w:line="360" w:lineRule="auto"/>
              <w:jc w:val="center"/>
              <w:rPr>
                <w:rFonts w:hint="default" w:eastAsia="宋体"/>
                <w:bCs/>
                <w:color w:val="C00000"/>
                <w:kern w:val="0"/>
                <w:szCs w:val="21"/>
                <w:lang w:val="en-US" w:eastAsia="zh-CN" w:bidi="ar"/>
              </w:rPr>
            </w:pPr>
            <w:r>
              <w:rPr>
                <w:rFonts w:hint="eastAsia"/>
                <w:bCs/>
                <w:color w:val="auto"/>
                <w:kern w:val="0"/>
                <w:szCs w:val="21"/>
                <w:lang w:bidi="ar"/>
              </w:rPr>
              <w:t>+</w:t>
            </w:r>
            <w:r>
              <w:rPr>
                <w:rFonts w:hint="eastAsia"/>
                <w:bCs/>
                <w:color w:val="auto"/>
                <w:kern w:val="0"/>
                <w:szCs w:val="21"/>
                <w:lang w:val="en-US" w:eastAsia="zh-CN" w:bidi="ar"/>
              </w:rPr>
              <w:t>27.11</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1.“生均教学仪器设备值”指标：2017年指标5125.83元，2019指标19663.31元，增加率283.61%。原因是2017数据只是原陕西工商职业学院的资产数据，2019数据包含了资源整合的三所中职学校的资产数据，因此增幅较大。</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2.2017年12月我校合并陕西银行学校、陕西省旅游学校和西安工程技师学院后，图书馆藏共计34万册，2019年馆藏39.9万册，两年来共新增5.9万册。2017年根据在校生7629人计算，生均43.9册，2019年在校生7147人，生均55.8册。学校图书馆根据专业设置和教学需求，针对藏书量不足及专业图书较为欠缺的问题，以思想政治、财经法律、文学文化教育、数理科学、历史地理及建筑工程及计算机类图书为主，大力加强文献信息资源建设和实体图书馆的建设。</w:t>
      </w:r>
    </w:p>
    <w:p>
      <w:pPr>
        <w:widowControl/>
        <w:spacing w:line="360" w:lineRule="auto"/>
        <w:jc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表5   2019年学校生均教学科研仪器设备值与全国</w:t>
      </w:r>
      <w:r>
        <w:rPr>
          <w:rFonts w:hint="eastAsia" w:ascii="宋体" w:hAnsi="宋体" w:cs="宋体"/>
          <w:b/>
          <w:color w:val="auto"/>
          <w:kern w:val="0"/>
          <w:sz w:val="24"/>
          <w:szCs w:val="24"/>
          <w:lang w:eastAsia="zh-CN" w:bidi="ar"/>
        </w:rPr>
        <w:t>同</w:t>
      </w:r>
      <w:r>
        <w:rPr>
          <w:rFonts w:hint="eastAsia" w:ascii="宋体" w:hAnsi="宋体" w:cs="宋体"/>
          <w:b/>
          <w:color w:val="auto"/>
          <w:kern w:val="0"/>
          <w:sz w:val="24"/>
          <w:szCs w:val="24"/>
          <w:lang w:bidi="ar"/>
        </w:rPr>
        <w:t>类院校比较</w:t>
      </w:r>
      <w:r>
        <w:rPr>
          <w:rFonts w:hint="eastAsia" w:ascii="宋体" w:hAnsi="宋体" w:cs="宋体"/>
          <w:b/>
          <w:color w:val="auto"/>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1440"/>
        <w:gridCol w:w="1305"/>
        <w:gridCol w:w="132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noWrap w:val="0"/>
            <w:vAlign w:val="top"/>
          </w:tcPr>
          <w:p>
            <w:pPr>
              <w:widowControl/>
              <w:ind w:firstLine="1240" w:firstLineChars="588"/>
              <w:jc w:val="left"/>
              <w:rPr>
                <w:rFonts w:hint="eastAsia" w:ascii="宋体" w:hAnsi="宋体" w:cs="宋体"/>
                <w:b/>
                <w:color w:val="auto"/>
                <w:kern w:val="0"/>
                <w:szCs w:val="21"/>
                <w:lang w:bidi="ar"/>
              </w:rPr>
            </w:pPr>
            <w:r>
              <w:rPr>
                <w:rFonts w:hint="eastAsia" w:ascii="宋体" w:hAnsi="宋体" w:cs="宋体"/>
                <w:b/>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3175</wp:posOffset>
                      </wp:positionV>
                      <wp:extent cx="2067560" cy="367030"/>
                      <wp:effectExtent l="635" t="4445" r="8255" b="9525"/>
                      <wp:wrapNone/>
                      <wp:docPr id="2" name="直接箭头连接符 2"/>
                      <wp:cNvGraphicFramePr/>
                      <a:graphic xmlns:a="http://schemas.openxmlformats.org/drawingml/2006/main">
                        <a:graphicData uri="http://schemas.microsoft.com/office/word/2010/wordprocessingShape">
                          <wps:wsp>
                            <wps:cNvCnPr/>
                            <wps:spPr>
                              <a:xfrm>
                                <a:off x="0" y="0"/>
                                <a:ext cx="2067560" cy="3670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28.9pt;width:162.8pt;z-index:251659264;mso-width-relative:page;mso-height-relative:page;" filled="f" stroked="t" coordsize="21600,21600" o:gfxdata="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S5A1QAA&#10;AAYBAAAPAAAAAAAAAAEAIAAAACIAAABkcnMvZG93bnJldi54bWxQSwECFAAUAAAACACHTuJAXT9/&#10;I+gBAACjAwAADgAAAAAAAAABACAAAAAkAQAAZHJzL2Uyb0RvYy54bWxQSwUGAAAAAAYABgBZAQAA&#10;fgUAAAAA&#10;">
                      <v:fill on="f" focussize="0,0"/>
                      <v:stroke color="#000000" joinstyle="round"/>
                      <v:imagedata o:title=""/>
                      <o:lock v:ext="edit" aspectratio="f"/>
                    </v:shape>
                  </w:pict>
                </mc:Fallback>
              </mc:AlternateContent>
            </w:r>
            <w:r>
              <w:rPr>
                <w:rFonts w:hint="eastAsia" w:ascii="宋体" w:hAnsi="宋体" w:cs="宋体"/>
                <w:b/>
                <w:color w:val="auto"/>
                <w:kern w:val="0"/>
                <w:szCs w:val="21"/>
                <w:lang w:bidi="ar"/>
              </w:rPr>
              <w:t>项目</w:t>
            </w:r>
          </w:p>
          <w:p>
            <w:pPr>
              <w:widowControl/>
              <w:jc w:val="left"/>
              <w:rPr>
                <w:rFonts w:hint="eastAsia" w:ascii="宋体" w:hAnsi="宋体" w:cs="宋体"/>
                <w:b/>
                <w:color w:val="auto"/>
                <w:kern w:val="0"/>
                <w:szCs w:val="21"/>
                <w:lang w:bidi="ar"/>
              </w:rPr>
            </w:pPr>
            <w:r>
              <w:rPr>
                <w:rFonts w:hint="eastAsia" w:ascii="宋体" w:hAnsi="宋体" w:cs="宋体"/>
                <w:b/>
                <w:color w:val="auto"/>
                <w:kern w:val="0"/>
                <w:szCs w:val="21"/>
                <w:lang w:bidi="ar"/>
              </w:rPr>
              <w:t>比较指标</w:t>
            </w:r>
          </w:p>
        </w:tc>
        <w:tc>
          <w:tcPr>
            <w:tcW w:w="1440" w:type="dxa"/>
            <w:noWrap w:val="0"/>
            <w:vAlign w:val="center"/>
          </w:tcPr>
          <w:p>
            <w:pPr>
              <w:widowControl/>
              <w:spacing w:line="360" w:lineRule="auto"/>
              <w:jc w:val="center"/>
              <w:rPr>
                <w:rFonts w:hint="eastAsia" w:ascii="宋体" w:hAnsi="宋体" w:cs="宋体"/>
                <w:b/>
                <w:color w:val="auto"/>
                <w:kern w:val="0"/>
                <w:szCs w:val="21"/>
                <w:lang w:bidi="ar"/>
              </w:rPr>
            </w:pPr>
            <w:r>
              <w:rPr>
                <w:rFonts w:hint="eastAsia" w:ascii="宋体" w:hAnsi="宋体" w:cs="宋体"/>
                <w:b/>
                <w:color w:val="auto"/>
                <w:kern w:val="0"/>
                <w:szCs w:val="21"/>
                <w:lang w:bidi="ar"/>
              </w:rPr>
              <w:t>学校指标值</w:t>
            </w:r>
          </w:p>
        </w:tc>
        <w:tc>
          <w:tcPr>
            <w:tcW w:w="1305" w:type="dxa"/>
            <w:noWrap w:val="0"/>
            <w:vAlign w:val="center"/>
          </w:tcPr>
          <w:p>
            <w:pPr>
              <w:widowControl/>
              <w:jc w:val="center"/>
              <w:rPr>
                <w:rFonts w:hint="eastAsia" w:ascii="宋体" w:hAnsi="宋体" w:cs="宋体"/>
                <w:b/>
                <w:color w:val="auto"/>
                <w:kern w:val="0"/>
                <w:szCs w:val="21"/>
                <w:lang w:bidi="ar"/>
              </w:rPr>
            </w:pPr>
            <w:r>
              <w:rPr>
                <w:rFonts w:hint="eastAsia" w:ascii="宋体" w:hAnsi="宋体" w:cs="宋体"/>
                <w:b/>
                <w:color w:val="auto"/>
                <w:kern w:val="0"/>
                <w:szCs w:val="21"/>
                <w:lang w:bidi="ar"/>
              </w:rPr>
              <w:t>全国</w:t>
            </w:r>
          </w:p>
          <w:p>
            <w:pPr>
              <w:widowControl/>
              <w:jc w:val="center"/>
              <w:rPr>
                <w:rFonts w:hint="eastAsia" w:ascii="宋体" w:hAnsi="宋体" w:cs="宋体"/>
                <w:b/>
                <w:color w:val="auto"/>
                <w:kern w:val="0"/>
                <w:szCs w:val="21"/>
                <w:lang w:bidi="ar"/>
              </w:rPr>
            </w:pPr>
            <w:r>
              <w:rPr>
                <w:rFonts w:hint="eastAsia" w:ascii="宋体" w:hAnsi="宋体" w:cs="宋体"/>
                <w:b/>
                <w:color w:val="auto"/>
                <w:kern w:val="0"/>
                <w:szCs w:val="21"/>
                <w:lang w:bidi="ar"/>
              </w:rPr>
              <w:t>中位数</w:t>
            </w:r>
          </w:p>
        </w:tc>
        <w:tc>
          <w:tcPr>
            <w:tcW w:w="1320" w:type="dxa"/>
            <w:noWrap w:val="0"/>
            <w:vAlign w:val="center"/>
          </w:tcPr>
          <w:p>
            <w:pPr>
              <w:widowControl/>
              <w:jc w:val="center"/>
              <w:rPr>
                <w:rFonts w:hint="eastAsia" w:ascii="宋体" w:hAnsi="宋体" w:cs="宋体"/>
                <w:b/>
                <w:color w:val="auto"/>
                <w:kern w:val="0"/>
                <w:szCs w:val="21"/>
                <w:lang w:bidi="ar"/>
              </w:rPr>
            </w:pPr>
            <w:r>
              <w:rPr>
                <w:rFonts w:hint="eastAsia" w:ascii="宋体" w:hAnsi="宋体" w:cs="宋体"/>
                <w:b/>
                <w:color w:val="auto"/>
                <w:kern w:val="0"/>
                <w:szCs w:val="21"/>
                <w:lang w:bidi="ar"/>
              </w:rPr>
              <w:t>全国同类</w:t>
            </w:r>
          </w:p>
          <w:p>
            <w:pPr>
              <w:widowControl/>
              <w:jc w:val="center"/>
              <w:rPr>
                <w:rFonts w:hint="eastAsia" w:ascii="宋体" w:hAnsi="宋体" w:cs="宋体"/>
                <w:color w:val="auto"/>
                <w:kern w:val="0"/>
                <w:szCs w:val="21"/>
                <w:lang w:bidi="ar"/>
              </w:rPr>
            </w:pPr>
            <w:r>
              <w:rPr>
                <w:rFonts w:hint="eastAsia" w:ascii="宋体" w:hAnsi="宋体" w:cs="宋体"/>
                <w:b/>
                <w:color w:val="auto"/>
                <w:kern w:val="0"/>
                <w:szCs w:val="21"/>
                <w:lang w:bidi="ar"/>
              </w:rPr>
              <w:t>中位数</w:t>
            </w:r>
          </w:p>
        </w:tc>
        <w:tc>
          <w:tcPr>
            <w:tcW w:w="1133" w:type="dxa"/>
            <w:noWrap w:val="0"/>
            <w:vAlign w:val="center"/>
          </w:tcPr>
          <w:p>
            <w:pPr>
              <w:widowControl/>
              <w:jc w:val="center"/>
              <w:rPr>
                <w:rFonts w:hint="eastAsia" w:ascii="宋体" w:hAnsi="宋体" w:cs="宋体"/>
                <w:b/>
                <w:color w:val="auto"/>
                <w:kern w:val="0"/>
                <w:szCs w:val="21"/>
                <w:lang w:bidi="ar"/>
              </w:rPr>
            </w:pPr>
            <w:r>
              <w:rPr>
                <w:rFonts w:hint="eastAsia" w:ascii="宋体" w:hAnsi="宋体" w:cs="宋体"/>
                <w:b/>
                <w:color w:val="auto"/>
                <w:kern w:val="0"/>
                <w:szCs w:val="21"/>
                <w:lang w:bidi="ar"/>
              </w:rPr>
              <w:t>陕西省</w:t>
            </w:r>
          </w:p>
          <w:p>
            <w:pPr>
              <w:widowControl/>
              <w:jc w:val="center"/>
              <w:rPr>
                <w:rFonts w:hint="eastAsia" w:ascii="宋体" w:hAnsi="宋体" w:cs="宋体"/>
                <w:color w:val="auto"/>
                <w:kern w:val="0"/>
                <w:szCs w:val="21"/>
                <w:lang w:bidi="ar"/>
              </w:rPr>
            </w:pPr>
            <w:r>
              <w:rPr>
                <w:rFonts w:hint="eastAsia" w:ascii="宋体" w:hAnsi="宋体" w:cs="宋体"/>
                <w:b/>
                <w:color w:val="auto"/>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24" w:type="dxa"/>
            <w:noWrap w:val="0"/>
            <w:vAlign w:val="center"/>
          </w:tcPr>
          <w:p>
            <w:pPr>
              <w:widowControl/>
              <w:jc w:val="left"/>
              <w:rPr>
                <w:rFonts w:ascii="宋体" w:hAnsi="宋体" w:cs="宋体"/>
                <w:color w:val="auto"/>
                <w:kern w:val="0"/>
                <w:szCs w:val="21"/>
                <w:lang w:bidi="ar"/>
              </w:rPr>
            </w:pPr>
            <w:r>
              <w:rPr>
                <w:rFonts w:hint="eastAsia" w:ascii="宋体" w:hAnsi="宋体" w:cs="宋体"/>
                <w:color w:val="auto"/>
                <w:kern w:val="0"/>
                <w:szCs w:val="21"/>
                <w:lang w:bidi="ar"/>
              </w:rPr>
              <w:t>生均教学科研仪器设备值（元/生）</w:t>
            </w:r>
          </w:p>
        </w:tc>
        <w:tc>
          <w:tcPr>
            <w:tcW w:w="1440" w:type="dxa"/>
            <w:noWrap w:val="0"/>
            <w:vAlign w:val="center"/>
          </w:tcPr>
          <w:p>
            <w:pPr>
              <w:widowControl/>
              <w:spacing w:line="360" w:lineRule="auto"/>
              <w:jc w:val="center"/>
              <w:rPr>
                <w:color w:val="auto"/>
                <w:szCs w:val="21"/>
              </w:rPr>
            </w:pPr>
            <w:r>
              <w:rPr>
                <w:color w:val="auto"/>
                <w:szCs w:val="21"/>
              </w:rPr>
              <w:t>19663.31</w:t>
            </w:r>
          </w:p>
        </w:tc>
        <w:tc>
          <w:tcPr>
            <w:tcW w:w="1305" w:type="dxa"/>
            <w:noWrap w:val="0"/>
            <w:vAlign w:val="center"/>
          </w:tcPr>
          <w:p>
            <w:pPr>
              <w:widowControl/>
              <w:spacing w:line="360" w:lineRule="auto"/>
              <w:jc w:val="center"/>
              <w:rPr>
                <w:color w:val="auto"/>
                <w:szCs w:val="21"/>
              </w:rPr>
            </w:pPr>
            <w:r>
              <w:rPr>
                <w:color w:val="auto"/>
                <w:szCs w:val="21"/>
              </w:rPr>
              <w:t>10739.35</w:t>
            </w:r>
          </w:p>
        </w:tc>
        <w:tc>
          <w:tcPr>
            <w:tcW w:w="1320" w:type="dxa"/>
            <w:noWrap w:val="0"/>
            <w:vAlign w:val="center"/>
          </w:tcPr>
          <w:p>
            <w:pPr>
              <w:widowControl/>
              <w:spacing w:line="360" w:lineRule="auto"/>
              <w:jc w:val="center"/>
              <w:rPr>
                <w:color w:val="auto"/>
                <w:kern w:val="0"/>
                <w:szCs w:val="21"/>
                <w:lang w:bidi="ar"/>
              </w:rPr>
            </w:pPr>
            <w:r>
              <w:rPr>
                <w:rFonts w:hint="eastAsia"/>
                <w:color w:val="auto"/>
                <w:szCs w:val="21"/>
              </w:rPr>
              <w:t>8937.04</w:t>
            </w:r>
          </w:p>
        </w:tc>
        <w:tc>
          <w:tcPr>
            <w:tcW w:w="1133" w:type="dxa"/>
            <w:noWrap w:val="0"/>
            <w:vAlign w:val="center"/>
          </w:tcPr>
          <w:p>
            <w:pPr>
              <w:widowControl/>
              <w:spacing w:line="360" w:lineRule="auto"/>
              <w:jc w:val="center"/>
              <w:rPr>
                <w:color w:val="auto"/>
                <w:kern w:val="0"/>
                <w:szCs w:val="21"/>
                <w:lang w:bidi="ar"/>
              </w:rPr>
            </w:pPr>
            <w:r>
              <w:rPr>
                <w:rFonts w:hint="eastAsia"/>
                <w:color w:val="auto"/>
                <w:szCs w:val="21"/>
              </w:rPr>
              <w:t>13615.35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noWrap w:val="0"/>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本校相对其他院校的增减率（%）</w:t>
            </w:r>
          </w:p>
        </w:tc>
        <w:tc>
          <w:tcPr>
            <w:tcW w:w="1440" w:type="dxa"/>
            <w:noWrap w:val="0"/>
            <w:vAlign w:val="center"/>
          </w:tcPr>
          <w:p>
            <w:pPr>
              <w:widowControl/>
              <w:spacing w:line="360" w:lineRule="auto"/>
              <w:jc w:val="center"/>
              <w:rPr>
                <w:color w:val="auto"/>
                <w:kern w:val="0"/>
                <w:szCs w:val="21"/>
                <w:lang w:bidi="ar"/>
              </w:rPr>
            </w:pPr>
            <w:r>
              <w:rPr>
                <w:rFonts w:hint="eastAsia"/>
                <w:color w:val="auto"/>
                <w:kern w:val="0"/>
                <w:szCs w:val="21"/>
                <w:lang w:bidi="ar"/>
              </w:rPr>
              <w:t>0</w:t>
            </w:r>
          </w:p>
        </w:tc>
        <w:tc>
          <w:tcPr>
            <w:tcW w:w="1305" w:type="dxa"/>
            <w:noWrap w:val="0"/>
            <w:vAlign w:val="center"/>
          </w:tcPr>
          <w:p>
            <w:pPr>
              <w:widowControl/>
              <w:spacing w:line="360" w:lineRule="auto"/>
              <w:jc w:val="center"/>
              <w:rPr>
                <w:color w:val="auto"/>
                <w:kern w:val="0"/>
                <w:szCs w:val="21"/>
                <w:lang w:bidi="ar"/>
              </w:rPr>
            </w:pPr>
            <w:r>
              <w:rPr>
                <w:rFonts w:hint="eastAsia"/>
                <w:color w:val="auto"/>
                <w:kern w:val="0"/>
                <w:szCs w:val="21"/>
                <w:lang w:bidi="ar"/>
              </w:rPr>
              <w:t>+83.09</w:t>
            </w:r>
          </w:p>
        </w:tc>
        <w:tc>
          <w:tcPr>
            <w:tcW w:w="1320" w:type="dxa"/>
            <w:noWrap w:val="0"/>
            <w:vAlign w:val="center"/>
          </w:tcPr>
          <w:p>
            <w:pPr>
              <w:widowControl/>
              <w:spacing w:line="360" w:lineRule="auto"/>
              <w:jc w:val="center"/>
              <w:rPr>
                <w:color w:val="auto"/>
                <w:kern w:val="0"/>
                <w:szCs w:val="21"/>
                <w:lang w:bidi="ar"/>
              </w:rPr>
            </w:pPr>
            <w:r>
              <w:rPr>
                <w:rFonts w:hint="eastAsia"/>
                <w:color w:val="auto"/>
                <w:kern w:val="0"/>
                <w:szCs w:val="21"/>
                <w:lang w:bidi="ar"/>
              </w:rPr>
              <w:t>+120.02</w:t>
            </w:r>
          </w:p>
        </w:tc>
        <w:tc>
          <w:tcPr>
            <w:tcW w:w="1133" w:type="dxa"/>
            <w:noWrap w:val="0"/>
            <w:vAlign w:val="center"/>
          </w:tcPr>
          <w:p>
            <w:pPr>
              <w:widowControl/>
              <w:spacing w:line="360" w:lineRule="auto"/>
              <w:jc w:val="center"/>
              <w:rPr>
                <w:color w:val="auto"/>
                <w:kern w:val="0"/>
                <w:szCs w:val="21"/>
                <w:lang w:bidi="ar"/>
              </w:rPr>
            </w:pPr>
            <w:r>
              <w:rPr>
                <w:rFonts w:hint="eastAsia"/>
                <w:color w:val="auto"/>
                <w:kern w:val="0"/>
                <w:szCs w:val="21"/>
                <w:lang w:val="en-US" w:eastAsia="zh-CN" w:bidi="ar"/>
              </w:rPr>
              <w:t>+</w:t>
            </w:r>
            <w:r>
              <w:rPr>
                <w:rFonts w:hint="eastAsia"/>
                <w:color w:val="auto"/>
                <w:kern w:val="0"/>
                <w:szCs w:val="21"/>
                <w:lang w:bidi="ar"/>
              </w:rPr>
              <w:t>44.42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生均图书（册/生）</w:t>
            </w:r>
          </w:p>
        </w:tc>
        <w:tc>
          <w:tcPr>
            <w:tcW w:w="1440" w:type="dxa"/>
            <w:noWrap w:val="0"/>
            <w:vAlign w:val="center"/>
          </w:tcPr>
          <w:p>
            <w:pPr>
              <w:widowControl/>
              <w:spacing w:line="360" w:lineRule="auto"/>
              <w:jc w:val="center"/>
              <w:rPr>
                <w:rFonts w:hint="default"/>
                <w:color w:val="auto"/>
                <w:szCs w:val="21"/>
                <w:lang w:val="en-US" w:eastAsia="zh-CN"/>
              </w:rPr>
            </w:pPr>
            <w:r>
              <w:rPr>
                <w:rFonts w:hint="eastAsia"/>
                <w:color w:val="auto"/>
                <w:szCs w:val="21"/>
                <w:lang w:val="en-US" w:eastAsia="zh-CN"/>
              </w:rPr>
              <w:t>55.8</w:t>
            </w:r>
          </w:p>
        </w:tc>
        <w:tc>
          <w:tcPr>
            <w:tcW w:w="1305" w:type="dxa"/>
            <w:noWrap w:val="0"/>
            <w:vAlign w:val="center"/>
          </w:tcPr>
          <w:p>
            <w:pPr>
              <w:widowControl/>
              <w:spacing w:line="360" w:lineRule="auto"/>
              <w:jc w:val="center"/>
              <w:rPr>
                <w:color w:val="auto"/>
                <w:szCs w:val="21"/>
              </w:rPr>
            </w:pPr>
            <w:r>
              <w:rPr>
                <w:color w:val="auto"/>
                <w:szCs w:val="21"/>
              </w:rPr>
              <w:t>80.16</w:t>
            </w:r>
          </w:p>
        </w:tc>
        <w:tc>
          <w:tcPr>
            <w:tcW w:w="1320" w:type="dxa"/>
            <w:noWrap w:val="0"/>
            <w:vAlign w:val="center"/>
          </w:tcPr>
          <w:p>
            <w:pPr>
              <w:widowControl/>
              <w:spacing w:line="360" w:lineRule="auto"/>
              <w:jc w:val="center"/>
              <w:rPr>
                <w:color w:val="auto"/>
                <w:szCs w:val="21"/>
              </w:rPr>
            </w:pPr>
            <w:r>
              <w:rPr>
                <w:color w:val="auto"/>
                <w:szCs w:val="21"/>
              </w:rPr>
              <w:t>85.99</w:t>
            </w:r>
          </w:p>
        </w:tc>
        <w:tc>
          <w:tcPr>
            <w:tcW w:w="1133" w:type="dxa"/>
            <w:noWrap w:val="0"/>
            <w:vAlign w:val="center"/>
          </w:tcPr>
          <w:p>
            <w:pPr>
              <w:widowControl/>
              <w:spacing w:line="360" w:lineRule="auto"/>
              <w:jc w:val="center"/>
              <w:rPr>
                <w:color w:val="auto"/>
                <w:szCs w:val="21"/>
              </w:rPr>
            </w:pPr>
            <w:r>
              <w:rPr>
                <w:color w:val="auto"/>
                <w:szCs w:val="21"/>
              </w:rPr>
              <w:t>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本校相对其他院校的增减率（%）</w:t>
            </w:r>
          </w:p>
        </w:tc>
        <w:tc>
          <w:tcPr>
            <w:tcW w:w="1440"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0</w:t>
            </w:r>
          </w:p>
        </w:tc>
        <w:tc>
          <w:tcPr>
            <w:tcW w:w="1305"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-28.68</w:t>
            </w:r>
          </w:p>
        </w:tc>
        <w:tc>
          <w:tcPr>
            <w:tcW w:w="1320"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-33.52</w:t>
            </w:r>
          </w:p>
        </w:tc>
        <w:tc>
          <w:tcPr>
            <w:tcW w:w="1133"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-26.69</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1.2019年我校生均教学科研仪器设备值的指标大于“全国中位数”、“全国同类中位数”、“陕西省中位数”三个指标。学校教学仪器设备的配置水平能够满足专业对学生的人才培养需求，同时对学校的国有资产管理提出了更高的要求，应该“管好、用好”国有资产，确保国有资产不流失。</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2.2019年我校生均图书的指标低于于“全国中位数”、“全国同类中位数”、“陕西省中位数”三个指标。为弥补生均图书不足，我校将扩大实体图书馆合理补充馆藏，依据有目的、有计划以及轻重缓急的原则，结合学校实际财力，对能体现我校专业特色的文献资料，有计划、有步骤地予以收藏。对专业理论性强、学术价值高的图书重点收藏，科研用书重点优先保证补充，科学地利用采购经费，有目的、有选择地补充体现建筑、会计、旅游管理、物业、物流等专业特色的图书，力争形成“覆盖各个专业、倾斜骨干专业，体现特色专业，重视支撑专业，配合学校专业建设”的发展新格局。</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auto"/>
          <w:kern w:val="0"/>
          <w:sz w:val="28"/>
          <w:szCs w:val="28"/>
          <w:lang w:bidi="ar"/>
        </w:rPr>
      </w:pPr>
      <w:bookmarkStart w:id="7" w:name="_Toc19466"/>
      <w:r>
        <w:rPr>
          <w:rFonts w:hint="eastAsia" w:ascii="宋体" w:hAnsi="宋体" w:eastAsia="宋体" w:cs="宋体"/>
          <w:b/>
          <w:bCs/>
          <w:color w:val="auto"/>
          <w:kern w:val="0"/>
          <w:sz w:val="28"/>
          <w:szCs w:val="28"/>
          <w:lang w:bidi="ar"/>
        </w:rPr>
        <w:t>（三）校舍</w:t>
      </w:r>
      <w:r>
        <w:rPr>
          <w:rFonts w:hint="eastAsia" w:ascii="宋体" w:hAnsi="宋体" w:cs="宋体"/>
          <w:b/>
          <w:bCs/>
          <w:color w:val="auto"/>
          <w:kern w:val="0"/>
          <w:sz w:val="28"/>
          <w:szCs w:val="28"/>
          <w:lang w:eastAsia="zh-CN" w:bidi="ar"/>
        </w:rPr>
        <w:t>及</w:t>
      </w:r>
      <w:r>
        <w:rPr>
          <w:rFonts w:hint="eastAsia" w:ascii="宋体" w:hAnsi="宋体" w:eastAsia="宋体" w:cs="宋体"/>
          <w:b/>
          <w:bCs/>
          <w:color w:val="auto"/>
          <w:kern w:val="0"/>
          <w:sz w:val="28"/>
          <w:szCs w:val="28"/>
          <w:lang w:bidi="ar"/>
        </w:rPr>
        <w:t>信息化条件</w:t>
      </w:r>
      <w:bookmarkEnd w:id="7"/>
      <w:r>
        <w:rPr>
          <w:rFonts w:hint="eastAsia" w:ascii="宋体" w:hAnsi="宋体" w:eastAsia="宋体" w:cs="宋体"/>
          <w:color w:val="auto"/>
          <w:kern w:val="0"/>
          <w:sz w:val="28"/>
          <w:szCs w:val="28"/>
          <w:lang w:bidi="ar"/>
        </w:rPr>
        <w:t xml:space="preserve"> </w:t>
      </w:r>
    </w:p>
    <w:p>
      <w:pPr>
        <w:widowControl/>
        <w:spacing w:line="360" w:lineRule="auto"/>
        <w:ind w:firstLine="236" w:firstLineChars="98"/>
        <w:jc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表6   2017～2019 年学校校舍及信息化教学条件情况</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0"/>
        <w:gridCol w:w="1362"/>
        <w:gridCol w:w="140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jc w:val="center"/>
              <w:rPr>
                <w:rFonts w:hint="eastAsia" w:ascii="宋体" w:hAnsi="宋体" w:cs="宋体"/>
                <w:color w:val="auto"/>
                <w:kern w:val="0"/>
                <w:sz w:val="18"/>
                <w:szCs w:val="18"/>
                <w:lang w:bidi="ar"/>
              </w:rPr>
            </w:pPr>
            <w:r>
              <w:rPr>
                <w:rFonts w:hint="eastAsia" w:ascii="宋体" w:hAnsi="宋体" w:cs="宋体"/>
                <w:b/>
                <w:color w:val="auto"/>
                <w:kern w:val="0"/>
                <w:sz w:val="18"/>
                <w:szCs w:val="18"/>
                <w:lang w:bidi="ar"/>
              </w:rPr>
              <w:t>指标名称</w:t>
            </w:r>
          </w:p>
        </w:tc>
        <w:tc>
          <w:tcPr>
            <w:tcW w:w="1362" w:type="dxa"/>
            <w:noWrap w:val="0"/>
            <w:vAlign w:val="top"/>
          </w:tcPr>
          <w:p>
            <w:pPr>
              <w:widowControl/>
              <w:jc w:val="left"/>
              <w:rPr>
                <w:rFonts w:hint="eastAsia" w:ascii="宋体" w:hAnsi="宋体" w:cs="宋体"/>
                <w:color w:val="auto"/>
                <w:kern w:val="0"/>
                <w:sz w:val="18"/>
                <w:szCs w:val="18"/>
                <w:lang w:bidi="ar"/>
              </w:rPr>
            </w:pPr>
            <w:r>
              <w:rPr>
                <w:rFonts w:hint="eastAsia" w:ascii="宋体" w:hAnsi="宋体" w:cs="宋体"/>
                <w:b/>
                <w:color w:val="auto"/>
                <w:kern w:val="0"/>
                <w:sz w:val="18"/>
                <w:szCs w:val="18"/>
                <w:lang w:bidi="ar"/>
              </w:rPr>
              <w:t>2017年指标值</w:t>
            </w:r>
          </w:p>
        </w:tc>
        <w:tc>
          <w:tcPr>
            <w:tcW w:w="1404" w:type="dxa"/>
            <w:noWrap w:val="0"/>
            <w:vAlign w:val="top"/>
          </w:tcPr>
          <w:p>
            <w:pPr>
              <w:widowControl/>
              <w:jc w:val="left"/>
              <w:rPr>
                <w:rFonts w:hint="eastAsia" w:ascii="宋体" w:hAnsi="宋体" w:cs="宋体"/>
                <w:color w:val="auto"/>
                <w:kern w:val="0"/>
                <w:sz w:val="18"/>
                <w:szCs w:val="18"/>
                <w:lang w:bidi="ar"/>
              </w:rPr>
            </w:pPr>
            <w:r>
              <w:rPr>
                <w:rFonts w:hint="eastAsia" w:ascii="宋体" w:hAnsi="宋体" w:cs="宋体"/>
                <w:b/>
                <w:color w:val="auto"/>
                <w:kern w:val="0"/>
                <w:sz w:val="18"/>
                <w:szCs w:val="18"/>
                <w:lang w:bidi="ar"/>
              </w:rPr>
              <w:t xml:space="preserve">2019年指标值 </w:t>
            </w:r>
          </w:p>
        </w:tc>
        <w:tc>
          <w:tcPr>
            <w:tcW w:w="1417" w:type="dxa"/>
            <w:noWrap w:val="0"/>
            <w:vAlign w:val="top"/>
          </w:tcPr>
          <w:p>
            <w:pPr>
              <w:widowControl/>
              <w:jc w:val="left"/>
              <w:rPr>
                <w:rFonts w:hint="eastAsia" w:ascii="宋体" w:hAnsi="宋体" w:cs="宋体"/>
                <w:color w:val="auto"/>
                <w:kern w:val="0"/>
                <w:sz w:val="18"/>
                <w:szCs w:val="18"/>
                <w:lang w:bidi="ar"/>
              </w:rPr>
            </w:pPr>
            <w:r>
              <w:rPr>
                <w:rFonts w:hint="eastAsia" w:ascii="宋体" w:hAnsi="宋体" w:cs="宋体"/>
                <w:b/>
                <w:color w:val="auto"/>
                <w:kern w:val="0"/>
                <w:sz w:val="18"/>
                <w:szCs w:val="18"/>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生均教学及辅助、行政办公用房面积（㎡）</w:t>
            </w:r>
          </w:p>
        </w:tc>
        <w:tc>
          <w:tcPr>
            <w:tcW w:w="1362" w:type="dxa"/>
            <w:noWrap w:val="0"/>
            <w:vAlign w:val="top"/>
          </w:tcPr>
          <w:p>
            <w:pPr>
              <w:widowControl/>
              <w:spacing w:line="360" w:lineRule="auto"/>
              <w:jc w:val="center"/>
              <w:rPr>
                <w:rFonts w:hint="eastAsia" w:ascii="Times New Roman" w:hAnsi="Times New Roman" w:eastAsia="仿宋_GB2312" w:cs="Times New Roman"/>
                <w:bCs/>
                <w:color w:val="auto"/>
                <w:kern w:val="0"/>
                <w:sz w:val="21"/>
                <w:szCs w:val="21"/>
                <w:lang w:val="en-US" w:eastAsia="zh-CN" w:bidi="ar"/>
              </w:rPr>
            </w:pPr>
            <w:r>
              <w:rPr>
                <w:rFonts w:hint="eastAsia" w:eastAsia="仿宋_GB2312"/>
                <w:bCs/>
                <w:color w:val="auto"/>
                <w:kern w:val="0"/>
                <w:szCs w:val="21"/>
                <w:lang w:val="en-US" w:eastAsia="zh-CN" w:bidi="ar"/>
              </w:rPr>
              <w:t>1</w:t>
            </w:r>
            <w:r>
              <w:rPr>
                <w:rFonts w:eastAsia="仿宋_GB2312"/>
                <w:bCs/>
                <w:color w:val="auto"/>
                <w:kern w:val="0"/>
                <w:szCs w:val="21"/>
                <w:lang w:bidi="ar"/>
              </w:rPr>
              <w:t>6.61</w:t>
            </w:r>
          </w:p>
        </w:tc>
        <w:tc>
          <w:tcPr>
            <w:tcW w:w="1404" w:type="dxa"/>
            <w:noWrap w:val="0"/>
            <w:vAlign w:val="top"/>
          </w:tcPr>
          <w:p>
            <w:pPr>
              <w:widowControl/>
              <w:spacing w:line="360" w:lineRule="auto"/>
              <w:jc w:val="center"/>
              <w:rPr>
                <w:rFonts w:hint="eastAsia" w:ascii="Times New Roman" w:hAnsi="Times New Roman" w:eastAsia="仿宋_GB2312" w:cs="Times New Roman"/>
                <w:bCs/>
                <w:color w:val="auto"/>
                <w:kern w:val="0"/>
                <w:sz w:val="21"/>
                <w:szCs w:val="21"/>
                <w:lang w:val="en-US" w:eastAsia="zh-CN" w:bidi="ar"/>
              </w:rPr>
            </w:pPr>
            <w:r>
              <w:rPr>
                <w:rFonts w:eastAsia="仿宋_GB2312"/>
                <w:bCs/>
                <w:color w:val="auto"/>
                <w:kern w:val="0"/>
                <w:szCs w:val="21"/>
                <w:lang w:bidi="ar"/>
              </w:rPr>
              <w:t>21.17</w:t>
            </w:r>
          </w:p>
        </w:tc>
        <w:tc>
          <w:tcPr>
            <w:tcW w:w="1417" w:type="dxa"/>
            <w:noWrap w:val="0"/>
            <w:vAlign w:val="top"/>
          </w:tcPr>
          <w:p>
            <w:pPr>
              <w:widowControl/>
              <w:spacing w:line="360" w:lineRule="auto"/>
              <w:jc w:val="center"/>
              <w:rPr>
                <w:rFonts w:hint="default" w:ascii="Times New Roman" w:hAnsi="Times New Roman" w:eastAsia="仿宋_GB2312" w:cs="Times New Roman"/>
                <w:bCs/>
                <w:color w:val="auto"/>
                <w:kern w:val="0"/>
                <w:sz w:val="21"/>
                <w:szCs w:val="21"/>
                <w:lang w:val="en-US" w:eastAsia="zh-CN" w:bidi="ar"/>
              </w:rPr>
            </w:pPr>
            <w:r>
              <w:rPr>
                <w:rFonts w:hint="eastAsia" w:eastAsia="仿宋_GB2312"/>
                <w:bCs/>
                <w:color w:val="auto"/>
                <w:kern w:val="0"/>
                <w:szCs w:val="21"/>
                <w:lang w:val="en-US" w:eastAsia="zh-CN" w:bidi="ar"/>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每百名学生拥有教学用终端（计算机）（台）</w:t>
            </w:r>
          </w:p>
        </w:tc>
        <w:tc>
          <w:tcPr>
            <w:tcW w:w="1362"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17.28</w:t>
            </w:r>
          </w:p>
        </w:tc>
        <w:tc>
          <w:tcPr>
            <w:tcW w:w="1404"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20.03</w:t>
            </w:r>
          </w:p>
        </w:tc>
        <w:tc>
          <w:tcPr>
            <w:tcW w:w="1417" w:type="dxa"/>
            <w:noWrap w:val="0"/>
            <w:vAlign w:val="top"/>
          </w:tcPr>
          <w:p>
            <w:pPr>
              <w:widowControl/>
              <w:spacing w:line="360" w:lineRule="auto"/>
              <w:jc w:val="center"/>
              <w:rPr>
                <w:rFonts w:eastAsia="仿宋_GB2312"/>
                <w:bCs/>
                <w:color w:val="auto"/>
                <w:kern w:val="0"/>
                <w:sz w:val="21"/>
                <w:szCs w:val="21"/>
                <w:lang w:bidi="ar"/>
              </w:rPr>
            </w:pPr>
            <w:r>
              <w:rPr>
                <w:rFonts w:hint="eastAsia" w:eastAsia="仿宋_GB2312"/>
                <w:bCs/>
                <w:color w:val="auto"/>
                <w:kern w:val="0"/>
                <w:sz w:val="21"/>
                <w:szCs w:val="21"/>
                <w:lang w:bidi="ar"/>
              </w:rPr>
              <w:t>+15.91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接入互联网出口带宽（Mbps）</w:t>
            </w:r>
          </w:p>
        </w:tc>
        <w:tc>
          <w:tcPr>
            <w:tcW w:w="1362"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3660</w:t>
            </w:r>
          </w:p>
        </w:tc>
        <w:tc>
          <w:tcPr>
            <w:tcW w:w="1404"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2200</w:t>
            </w:r>
          </w:p>
        </w:tc>
        <w:tc>
          <w:tcPr>
            <w:tcW w:w="1417" w:type="dxa"/>
            <w:noWrap w:val="0"/>
            <w:vAlign w:val="top"/>
          </w:tcPr>
          <w:p>
            <w:pPr>
              <w:widowControl/>
              <w:spacing w:line="360" w:lineRule="auto"/>
              <w:jc w:val="center"/>
              <w:rPr>
                <w:rFonts w:eastAsia="仿宋_GB2312"/>
                <w:bCs/>
                <w:color w:val="auto"/>
                <w:kern w:val="0"/>
                <w:sz w:val="21"/>
                <w:szCs w:val="21"/>
                <w:lang w:bidi="ar"/>
              </w:rPr>
            </w:pPr>
            <w:r>
              <w:rPr>
                <w:rFonts w:hint="eastAsia" w:eastAsia="仿宋_GB2312"/>
                <w:bCs/>
                <w:color w:val="auto"/>
                <w:kern w:val="0"/>
                <w:sz w:val="21"/>
                <w:szCs w:val="21"/>
                <w:lang w:bidi="ar"/>
              </w:rPr>
              <w:t>-39.89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校园主干网最大带宽（Mbps）</w:t>
            </w:r>
          </w:p>
        </w:tc>
        <w:tc>
          <w:tcPr>
            <w:tcW w:w="1362"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2000</w:t>
            </w:r>
          </w:p>
        </w:tc>
        <w:tc>
          <w:tcPr>
            <w:tcW w:w="1404" w:type="dxa"/>
            <w:noWrap w:val="0"/>
            <w:vAlign w:val="top"/>
          </w:tcPr>
          <w:p>
            <w:pPr>
              <w:widowControl/>
              <w:spacing w:line="360" w:lineRule="auto"/>
              <w:jc w:val="center"/>
              <w:rPr>
                <w:rFonts w:eastAsia="仿宋_GB2312"/>
                <w:bCs/>
                <w:color w:val="auto"/>
                <w:kern w:val="0"/>
                <w:sz w:val="21"/>
                <w:szCs w:val="21"/>
                <w:lang w:bidi="ar"/>
              </w:rPr>
            </w:pPr>
            <w:r>
              <w:rPr>
                <w:rFonts w:eastAsia="仿宋_GB2312"/>
                <w:bCs/>
                <w:color w:val="auto"/>
                <w:kern w:val="0"/>
                <w:sz w:val="21"/>
                <w:szCs w:val="21"/>
                <w:lang w:bidi="ar"/>
              </w:rPr>
              <w:t>2000</w:t>
            </w:r>
          </w:p>
        </w:tc>
        <w:tc>
          <w:tcPr>
            <w:tcW w:w="1417" w:type="dxa"/>
            <w:noWrap w:val="0"/>
            <w:vAlign w:val="top"/>
          </w:tcPr>
          <w:p>
            <w:pPr>
              <w:widowControl/>
              <w:spacing w:line="360" w:lineRule="auto"/>
              <w:jc w:val="center"/>
              <w:rPr>
                <w:rFonts w:eastAsia="仿宋_GB2312"/>
                <w:bCs/>
                <w:color w:val="auto"/>
                <w:kern w:val="0"/>
                <w:sz w:val="21"/>
                <w:szCs w:val="21"/>
                <w:lang w:bidi="ar"/>
              </w:rPr>
            </w:pPr>
            <w:r>
              <w:rPr>
                <w:rFonts w:hint="eastAsia" w:eastAsia="仿宋_GB2312"/>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校园网络信息点数（个）</w:t>
            </w:r>
          </w:p>
        </w:tc>
        <w:tc>
          <w:tcPr>
            <w:tcW w:w="1362" w:type="dxa"/>
            <w:noWrap w:val="0"/>
            <w:vAlign w:val="top"/>
          </w:tcPr>
          <w:p>
            <w:pPr>
              <w:widowControl/>
              <w:spacing w:line="360" w:lineRule="auto"/>
              <w:jc w:val="center"/>
              <w:rPr>
                <w:rFonts w:eastAsia="仿宋_GB2312"/>
                <w:bCs/>
                <w:kern w:val="0"/>
                <w:sz w:val="21"/>
                <w:szCs w:val="21"/>
                <w:lang w:bidi="ar"/>
              </w:rPr>
            </w:pPr>
            <w:r>
              <w:rPr>
                <w:rFonts w:eastAsia="仿宋_GB2312"/>
                <w:bCs/>
                <w:kern w:val="0"/>
                <w:sz w:val="21"/>
                <w:szCs w:val="21"/>
                <w:lang w:bidi="ar"/>
              </w:rPr>
              <w:t>3550</w:t>
            </w:r>
          </w:p>
        </w:tc>
        <w:tc>
          <w:tcPr>
            <w:tcW w:w="1404" w:type="dxa"/>
            <w:noWrap w:val="0"/>
            <w:vAlign w:val="top"/>
          </w:tcPr>
          <w:p>
            <w:pPr>
              <w:widowControl/>
              <w:spacing w:line="360" w:lineRule="auto"/>
              <w:jc w:val="center"/>
              <w:rPr>
                <w:rFonts w:eastAsia="仿宋_GB2312"/>
                <w:bCs/>
                <w:kern w:val="0"/>
                <w:sz w:val="21"/>
                <w:szCs w:val="21"/>
                <w:lang w:bidi="ar"/>
              </w:rPr>
            </w:pPr>
            <w:r>
              <w:rPr>
                <w:rFonts w:eastAsia="仿宋_GB2312"/>
                <w:bCs/>
                <w:kern w:val="0"/>
                <w:sz w:val="21"/>
                <w:szCs w:val="21"/>
                <w:lang w:bidi="ar"/>
              </w:rPr>
              <w:t>4765</w:t>
            </w:r>
          </w:p>
        </w:tc>
        <w:tc>
          <w:tcPr>
            <w:tcW w:w="1417" w:type="dxa"/>
            <w:noWrap w:val="0"/>
            <w:vAlign w:val="top"/>
          </w:tcPr>
          <w:p>
            <w:pPr>
              <w:widowControl/>
              <w:spacing w:line="360" w:lineRule="auto"/>
              <w:jc w:val="center"/>
              <w:rPr>
                <w:rFonts w:eastAsia="仿宋_GB2312"/>
                <w:bCs/>
                <w:kern w:val="0"/>
                <w:sz w:val="21"/>
                <w:szCs w:val="21"/>
                <w:lang w:bidi="ar"/>
              </w:rPr>
            </w:pPr>
            <w:r>
              <w:rPr>
                <w:rFonts w:hint="eastAsia" w:eastAsia="仿宋_GB2312"/>
                <w:bCs/>
                <w:kern w:val="0"/>
                <w:sz w:val="21"/>
                <w:szCs w:val="21"/>
                <w:lang w:bidi="ar"/>
              </w:rPr>
              <w:t>+34.23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数字资源总量（GB）</w:t>
            </w:r>
          </w:p>
        </w:tc>
        <w:tc>
          <w:tcPr>
            <w:tcW w:w="1362" w:type="dxa"/>
            <w:noWrap w:val="0"/>
            <w:vAlign w:val="top"/>
          </w:tcPr>
          <w:p>
            <w:pPr>
              <w:widowControl/>
              <w:spacing w:line="360" w:lineRule="auto"/>
              <w:jc w:val="center"/>
              <w:rPr>
                <w:rFonts w:ascii="Times New Roman" w:hAnsi="Times New Roman" w:eastAsia="仿宋_GB2312" w:cs="Times New Roman"/>
                <w:bCs/>
                <w:color w:val="auto"/>
                <w:kern w:val="0"/>
                <w:sz w:val="21"/>
                <w:szCs w:val="21"/>
                <w:lang w:val="en-US" w:eastAsia="zh-CN" w:bidi="ar"/>
              </w:rPr>
            </w:pPr>
            <w:r>
              <w:rPr>
                <w:rFonts w:eastAsia="仿宋_GB2312"/>
                <w:bCs/>
                <w:color w:val="auto"/>
                <w:kern w:val="0"/>
                <w:szCs w:val="21"/>
                <w:lang w:bidi="ar"/>
              </w:rPr>
              <w:t>5068</w:t>
            </w:r>
          </w:p>
        </w:tc>
        <w:tc>
          <w:tcPr>
            <w:tcW w:w="1404" w:type="dxa"/>
            <w:noWrap w:val="0"/>
            <w:vAlign w:val="top"/>
          </w:tcPr>
          <w:p>
            <w:pPr>
              <w:widowControl/>
              <w:spacing w:line="360" w:lineRule="auto"/>
              <w:jc w:val="center"/>
              <w:rPr>
                <w:rFonts w:ascii="Times New Roman" w:hAnsi="Times New Roman" w:eastAsia="仿宋_GB2312" w:cs="Times New Roman"/>
                <w:bCs/>
                <w:color w:val="auto"/>
                <w:kern w:val="0"/>
                <w:sz w:val="21"/>
                <w:szCs w:val="21"/>
                <w:lang w:val="en-US" w:eastAsia="zh-CN" w:bidi="ar"/>
              </w:rPr>
            </w:pPr>
            <w:r>
              <w:rPr>
                <w:rFonts w:eastAsia="仿宋_GB2312"/>
                <w:bCs/>
                <w:color w:val="auto"/>
                <w:kern w:val="0"/>
                <w:szCs w:val="21"/>
                <w:lang w:bidi="ar"/>
              </w:rPr>
              <w:t>5068</w:t>
            </w:r>
          </w:p>
        </w:tc>
        <w:tc>
          <w:tcPr>
            <w:tcW w:w="1417" w:type="dxa"/>
            <w:noWrap w:val="0"/>
            <w:vAlign w:val="top"/>
          </w:tcPr>
          <w:p>
            <w:pPr>
              <w:widowControl/>
              <w:spacing w:line="360" w:lineRule="auto"/>
              <w:jc w:val="center"/>
              <w:rPr>
                <w:rFonts w:hint="eastAsia" w:ascii="Times New Roman" w:hAnsi="Times New Roman" w:eastAsia="仿宋_GB2312" w:cs="Times New Roman"/>
                <w:bCs/>
                <w:color w:val="auto"/>
                <w:kern w:val="0"/>
                <w:sz w:val="21"/>
                <w:szCs w:val="21"/>
                <w:lang w:val="en-US" w:eastAsia="zh-CN" w:bidi="ar"/>
              </w:rPr>
            </w:pPr>
            <w:r>
              <w:rPr>
                <w:rFonts w:hint="eastAsia" w:eastAsia="仿宋_GB2312"/>
                <w:bCs/>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noWrap w:val="0"/>
            <w:vAlign w:val="center"/>
          </w:tcPr>
          <w:p>
            <w:pPr>
              <w:widowControl/>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上网课程数（门）</w:t>
            </w:r>
          </w:p>
        </w:tc>
        <w:tc>
          <w:tcPr>
            <w:tcW w:w="1362" w:type="dxa"/>
            <w:noWrap w:val="0"/>
            <w:vAlign w:val="top"/>
          </w:tcPr>
          <w:p>
            <w:pPr>
              <w:widowControl/>
              <w:spacing w:line="360" w:lineRule="auto"/>
              <w:jc w:val="center"/>
              <w:rPr>
                <w:rFonts w:ascii="Times New Roman" w:hAnsi="Times New Roman" w:eastAsia="仿宋_GB2312" w:cs="Times New Roman"/>
                <w:bCs/>
                <w:color w:val="auto"/>
                <w:kern w:val="0"/>
                <w:sz w:val="21"/>
                <w:szCs w:val="21"/>
                <w:lang w:val="en-US" w:eastAsia="zh-CN" w:bidi="ar"/>
              </w:rPr>
            </w:pPr>
            <w:r>
              <w:rPr>
                <w:rFonts w:eastAsia="仿宋_GB2312"/>
                <w:bCs/>
                <w:color w:val="auto"/>
                <w:kern w:val="0"/>
                <w:szCs w:val="21"/>
                <w:lang w:bidi="ar"/>
              </w:rPr>
              <w:t>5</w:t>
            </w:r>
          </w:p>
        </w:tc>
        <w:tc>
          <w:tcPr>
            <w:tcW w:w="1404" w:type="dxa"/>
            <w:noWrap w:val="0"/>
            <w:vAlign w:val="top"/>
          </w:tcPr>
          <w:p>
            <w:pPr>
              <w:widowControl/>
              <w:spacing w:line="360" w:lineRule="auto"/>
              <w:jc w:val="center"/>
              <w:rPr>
                <w:rFonts w:ascii="Times New Roman" w:hAnsi="Times New Roman" w:eastAsia="仿宋_GB2312" w:cs="Times New Roman"/>
                <w:bCs/>
                <w:color w:val="auto"/>
                <w:kern w:val="0"/>
                <w:sz w:val="21"/>
                <w:szCs w:val="21"/>
                <w:lang w:val="en-US" w:eastAsia="zh-CN" w:bidi="ar"/>
              </w:rPr>
            </w:pPr>
            <w:r>
              <w:rPr>
                <w:rFonts w:eastAsia="仿宋_GB2312"/>
                <w:bCs/>
                <w:color w:val="auto"/>
                <w:kern w:val="0"/>
                <w:szCs w:val="21"/>
                <w:lang w:bidi="ar"/>
              </w:rPr>
              <w:t>50</w:t>
            </w:r>
          </w:p>
        </w:tc>
        <w:tc>
          <w:tcPr>
            <w:tcW w:w="1417" w:type="dxa"/>
            <w:noWrap w:val="0"/>
            <w:vAlign w:val="top"/>
          </w:tcPr>
          <w:p>
            <w:pPr>
              <w:widowControl/>
              <w:spacing w:line="360" w:lineRule="auto"/>
              <w:jc w:val="center"/>
              <w:rPr>
                <w:rFonts w:hint="eastAsia" w:ascii="Times New Roman" w:hAnsi="Times New Roman" w:eastAsia="仿宋_GB2312" w:cs="Times New Roman"/>
                <w:bCs/>
                <w:color w:val="auto"/>
                <w:kern w:val="0"/>
                <w:sz w:val="21"/>
                <w:szCs w:val="21"/>
                <w:lang w:val="en-US" w:eastAsia="zh-CN" w:bidi="ar"/>
              </w:rPr>
            </w:pPr>
            <w:r>
              <w:rPr>
                <w:rFonts w:hint="eastAsia" w:eastAsia="仿宋_GB2312"/>
                <w:bCs/>
                <w:color w:val="auto"/>
                <w:kern w:val="0"/>
                <w:szCs w:val="21"/>
                <w:lang w:bidi="ar"/>
              </w:rPr>
              <w:t>+900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“生均教学及辅助、行政办公用房面积”指标：2017年指标16.61㎡,2019年指标21.17㎡，增加27.45%。2019年资产完成并账后，生均教学及辅助、行政办公用房面积增加，总体上能满足教学要求。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2.自2017年与三所中职院校合并以来，我校在教育信息化条件建设方面进行统筹规划，不断提高服务质量，为教学和办公提供优质的信息化环境。</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我校在2017～2019年间百名学生拥有教学终端数增长15.91%。在此期间，智慧教室建设项目共建设14间智能交互式平板显示系统（80吋12间，80吋2间。配实物投影仪）；郭杜校区多媒体教室建设共建21间多媒体投影教室；各学院新增多个实训室。</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仿宋_GB2312" w:hAnsi="仿宋_GB2312" w:eastAsia="仿宋_GB2312" w:cs="仿宋_GB2312"/>
          <w:sz w:val="28"/>
          <w:szCs w:val="28"/>
          <w:lang w:val="en-US" w:eastAsia="zh-CN"/>
        </w:rPr>
        <w:t>（2）学校于2018年开始部署六校区基础网络互联，并将所有出口统一到郭杜校区，实现教学、办公信息共享。</w:t>
      </w:r>
    </w:p>
    <w:p>
      <w:pPr>
        <w:widowControl/>
        <w:numPr>
          <w:ilvl w:val="0"/>
          <w:numId w:val="0"/>
        </w:numPr>
        <w:spacing w:line="360" w:lineRule="auto"/>
        <w:jc w:val="center"/>
        <w:rPr>
          <w:rFonts w:hint="eastAsia" w:ascii="Calibri" w:hAnsi="Calibri" w:cs="Calibri"/>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附表1   2017年各校区网络出口一览表</w:t>
      </w:r>
    </w:p>
    <w:tbl>
      <w:tblPr>
        <w:tblStyle w:val="12"/>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037"/>
        <w:gridCol w:w="1217"/>
        <w:gridCol w:w="1063"/>
        <w:gridCol w:w="148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校区名称</w:t>
            </w:r>
          </w:p>
        </w:tc>
        <w:tc>
          <w:tcPr>
            <w:tcW w:w="1037"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出口带宽</w:t>
            </w:r>
          </w:p>
        </w:tc>
        <w:tc>
          <w:tcPr>
            <w:tcW w:w="1217"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运营商</w:t>
            </w:r>
          </w:p>
        </w:tc>
        <w:tc>
          <w:tcPr>
            <w:tcW w:w="1063" w:type="dxa"/>
            <w:noWrap w:val="0"/>
            <w:vAlign w:val="center"/>
          </w:tcPr>
          <w:p>
            <w:pPr>
              <w:jc w:val="center"/>
              <w:rPr>
                <w:rFonts w:hint="eastAsia" w:eastAsia="宋体"/>
                <w:b/>
                <w:bCs/>
                <w:sz w:val="18"/>
                <w:szCs w:val="18"/>
                <w:vertAlign w:val="baseline"/>
                <w:lang w:val="en-US" w:eastAsia="zh-CN"/>
              </w:rPr>
            </w:pPr>
            <w:r>
              <w:rPr>
                <w:rFonts w:hint="eastAsia"/>
                <w:b/>
                <w:bCs/>
                <w:sz w:val="18"/>
                <w:szCs w:val="18"/>
                <w:vertAlign w:val="baseline"/>
                <w:lang w:val="en-US" w:eastAsia="zh-CN"/>
              </w:rPr>
              <w:t>年费（万）</w:t>
            </w:r>
          </w:p>
        </w:tc>
        <w:tc>
          <w:tcPr>
            <w:tcW w:w="1485"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服务覆盖范围</w:t>
            </w:r>
          </w:p>
        </w:tc>
        <w:tc>
          <w:tcPr>
            <w:tcW w:w="2182"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租用光纤费用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vMerge w:val="restart"/>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含光</w:t>
            </w: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200M</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小寨电信</w:t>
            </w: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30</w:t>
            </w:r>
          </w:p>
        </w:tc>
        <w:tc>
          <w:tcPr>
            <w:tcW w:w="1485" w:type="dxa"/>
            <w:vMerge w:val="restart"/>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含光校区</w:t>
            </w:r>
          </w:p>
        </w:tc>
        <w:tc>
          <w:tcPr>
            <w:tcW w:w="2182" w:type="dxa"/>
            <w:vMerge w:val="restart"/>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教育网光纤4.2万/年</w:t>
            </w:r>
          </w:p>
          <w:p>
            <w:pPr>
              <w:jc w:val="center"/>
              <w:rPr>
                <w:rFonts w:hint="default"/>
                <w:sz w:val="18"/>
                <w:szCs w:val="18"/>
                <w:vertAlign w:val="baseline"/>
                <w:lang w:val="en-US" w:eastAsia="zh-CN"/>
              </w:rPr>
            </w:pPr>
            <w:r>
              <w:rPr>
                <w:rFonts w:hint="eastAsia"/>
                <w:sz w:val="18"/>
                <w:szCs w:val="18"/>
                <w:vertAlign w:val="baseline"/>
                <w:lang w:val="en-US" w:eastAsia="zh-CN"/>
              </w:rPr>
              <w:t>电信光纤17.0642万/年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vMerge w:val="continue"/>
            <w:noWrap w:val="0"/>
            <w:vAlign w:val="center"/>
          </w:tcPr>
          <w:p>
            <w:pPr>
              <w:jc w:val="center"/>
              <w:rPr>
                <w:sz w:val="18"/>
                <w:szCs w:val="18"/>
              </w:rPr>
            </w:pP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200M</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教育网</w:t>
            </w: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21</w:t>
            </w:r>
          </w:p>
        </w:tc>
        <w:tc>
          <w:tcPr>
            <w:tcW w:w="1485" w:type="dxa"/>
            <w:vMerge w:val="continue"/>
            <w:noWrap w:val="0"/>
            <w:vAlign w:val="center"/>
          </w:tcPr>
          <w:p>
            <w:pPr>
              <w:jc w:val="center"/>
              <w:rPr>
                <w:rFonts w:hint="eastAsia"/>
                <w:sz w:val="18"/>
                <w:szCs w:val="18"/>
                <w:vertAlign w:val="baseline"/>
                <w:lang w:val="en-US" w:eastAsia="zh-CN"/>
              </w:rPr>
            </w:pPr>
          </w:p>
        </w:tc>
        <w:tc>
          <w:tcPr>
            <w:tcW w:w="2182" w:type="dxa"/>
            <w:vMerge w:val="continue"/>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郭杜</w:t>
            </w:r>
          </w:p>
        </w:tc>
        <w:tc>
          <w:tcPr>
            <w:tcW w:w="1037" w:type="dxa"/>
            <w:noWrap w:val="0"/>
            <w:vAlign w:val="center"/>
          </w:tcPr>
          <w:p>
            <w:pPr>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2G</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长安移动</w:t>
            </w: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15</w:t>
            </w:r>
          </w:p>
        </w:tc>
        <w:tc>
          <w:tcPr>
            <w:tcW w:w="14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郭杜校区</w:t>
            </w:r>
          </w:p>
        </w:tc>
        <w:tc>
          <w:tcPr>
            <w:tcW w:w="2182" w:type="dxa"/>
            <w:vMerge w:val="continue"/>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明德</w:t>
            </w: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600M</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雁塔移动</w:t>
            </w:r>
          </w:p>
        </w:tc>
        <w:tc>
          <w:tcPr>
            <w:tcW w:w="1063" w:type="dxa"/>
            <w:vMerge w:val="restart"/>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34</w:t>
            </w:r>
          </w:p>
        </w:tc>
        <w:tc>
          <w:tcPr>
            <w:tcW w:w="1485" w:type="dxa"/>
            <w:noWrap w:val="0"/>
            <w:vAlign w:val="center"/>
          </w:tcPr>
          <w:p>
            <w:pPr>
              <w:jc w:val="center"/>
              <w:rPr>
                <w:rFonts w:hint="eastAsia"/>
                <w:sz w:val="18"/>
                <w:szCs w:val="18"/>
                <w:vertAlign w:val="baseline"/>
                <w:lang w:val="en-US" w:eastAsia="zh-CN"/>
              </w:rPr>
            </w:pPr>
          </w:p>
        </w:tc>
        <w:tc>
          <w:tcPr>
            <w:tcW w:w="2182"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东大</w:t>
            </w: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400M</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雁塔移动</w:t>
            </w:r>
          </w:p>
        </w:tc>
        <w:tc>
          <w:tcPr>
            <w:tcW w:w="1063" w:type="dxa"/>
            <w:vMerge w:val="continue"/>
            <w:noWrap w:val="0"/>
            <w:vAlign w:val="center"/>
          </w:tcPr>
          <w:p>
            <w:pPr>
              <w:jc w:val="center"/>
              <w:rPr>
                <w:rFonts w:hint="eastAsia" w:eastAsia="宋体"/>
                <w:sz w:val="18"/>
                <w:szCs w:val="18"/>
                <w:vertAlign w:val="baseline"/>
                <w:lang w:val="en-US" w:eastAsia="zh-CN"/>
              </w:rPr>
            </w:pPr>
          </w:p>
        </w:tc>
        <w:tc>
          <w:tcPr>
            <w:tcW w:w="1485" w:type="dxa"/>
            <w:noWrap w:val="0"/>
            <w:vAlign w:val="center"/>
          </w:tcPr>
          <w:p>
            <w:pPr>
              <w:jc w:val="center"/>
              <w:rPr>
                <w:rFonts w:hint="eastAsia" w:eastAsia="宋体"/>
                <w:sz w:val="18"/>
                <w:szCs w:val="18"/>
                <w:vertAlign w:val="baseline"/>
                <w:lang w:val="en-US" w:eastAsia="zh-CN"/>
              </w:rPr>
            </w:pPr>
          </w:p>
        </w:tc>
        <w:tc>
          <w:tcPr>
            <w:tcW w:w="2182" w:type="dxa"/>
            <w:noWrap w:val="0"/>
            <w:vAlign w:val="center"/>
          </w:tcPr>
          <w:p>
            <w:pPr>
              <w:jc w:val="center"/>
              <w:rPr>
                <w:rFonts w:hint="eastAsia" w:eastAsia="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vMerge w:val="restart"/>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旅游</w:t>
            </w: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10M</w:t>
            </w:r>
          </w:p>
        </w:tc>
        <w:tc>
          <w:tcPr>
            <w:tcW w:w="1217" w:type="dxa"/>
            <w:vMerge w:val="restart"/>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联通</w:t>
            </w: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0.9</w:t>
            </w:r>
          </w:p>
        </w:tc>
        <w:tc>
          <w:tcPr>
            <w:tcW w:w="1485" w:type="dxa"/>
            <w:noWrap w:val="0"/>
            <w:vAlign w:val="center"/>
          </w:tcPr>
          <w:p>
            <w:pPr>
              <w:jc w:val="center"/>
              <w:rPr>
                <w:rFonts w:hint="eastAsia"/>
                <w:sz w:val="18"/>
                <w:szCs w:val="18"/>
                <w:vertAlign w:val="baseline"/>
                <w:lang w:val="en-US" w:eastAsia="zh-CN"/>
              </w:rPr>
            </w:pPr>
          </w:p>
        </w:tc>
        <w:tc>
          <w:tcPr>
            <w:tcW w:w="2182"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vMerge w:val="continue"/>
            <w:noWrap w:val="0"/>
            <w:vAlign w:val="center"/>
          </w:tcPr>
          <w:p>
            <w:pPr>
              <w:jc w:val="center"/>
              <w:rPr>
                <w:sz w:val="18"/>
                <w:szCs w:val="18"/>
              </w:rPr>
            </w:pP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50M</w:t>
            </w:r>
          </w:p>
        </w:tc>
        <w:tc>
          <w:tcPr>
            <w:tcW w:w="1217" w:type="dxa"/>
            <w:vMerge w:val="continue"/>
            <w:noWrap w:val="0"/>
            <w:vAlign w:val="center"/>
          </w:tcPr>
          <w:p>
            <w:pPr>
              <w:jc w:val="center"/>
              <w:rPr>
                <w:rFonts w:hint="eastAsia" w:eastAsia="宋体"/>
                <w:sz w:val="18"/>
                <w:szCs w:val="18"/>
                <w:vertAlign w:val="baseline"/>
                <w:lang w:val="en-US" w:eastAsia="zh-CN"/>
              </w:rPr>
            </w:pP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7.8</w:t>
            </w:r>
          </w:p>
        </w:tc>
        <w:tc>
          <w:tcPr>
            <w:tcW w:w="1485" w:type="dxa"/>
            <w:noWrap w:val="0"/>
            <w:vAlign w:val="center"/>
          </w:tcPr>
          <w:p>
            <w:pPr>
              <w:jc w:val="center"/>
              <w:rPr>
                <w:rFonts w:hint="eastAsia"/>
                <w:sz w:val="18"/>
                <w:szCs w:val="18"/>
                <w:vertAlign w:val="baseline"/>
                <w:lang w:val="en-US" w:eastAsia="zh-CN"/>
              </w:rPr>
            </w:pPr>
          </w:p>
        </w:tc>
        <w:tc>
          <w:tcPr>
            <w:tcW w:w="2182"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银行</w:t>
            </w:r>
          </w:p>
        </w:tc>
        <w:tc>
          <w:tcPr>
            <w:tcW w:w="1037" w:type="dxa"/>
            <w:noWrap w:val="0"/>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200M</w:t>
            </w:r>
          </w:p>
        </w:tc>
        <w:tc>
          <w:tcPr>
            <w:tcW w:w="1217" w:type="dxa"/>
            <w:noWrap w:val="0"/>
            <w:vAlign w:val="center"/>
          </w:tcPr>
          <w:p>
            <w:pPr>
              <w:jc w:val="center"/>
              <w:rPr>
                <w:rFonts w:hint="eastAsia" w:eastAsia="宋体"/>
                <w:sz w:val="18"/>
                <w:szCs w:val="18"/>
                <w:vertAlign w:val="baseline"/>
                <w:lang w:val="en-US" w:eastAsia="zh-CN"/>
              </w:rPr>
            </w:pPr>
            <w:r>
              <w:rPr>
                <w:rFonts w:hint="eastAsia" w:eastAsia="宋体"/>
                <w:sz w:val="18"/>
                <w:szCs w:val="18"/>
                <w:vertAlign w:val="baseline"/>
                <w:lang w:val="en-US" w:eastAsia="zh-CN"/>
              </w:rPr>
              <w:t>高新电信</w:t>
            </w:r>
          </w:p>
        </w:tc>
        <w:tc>
          <w:tcPr>
            <w:tcW w:w="1063"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28.8</w:t>
            </w:r>
          </w:p>
        </w:tc>
        <w:tc>
          <w:tcPr>
            <w:tcW w:w="1485" w:type="dxa"/>
            <w:noWrap w:val="0"/>
            <w:vAlign w:val="center"/>
          </w:tcPr>
          <w:p>
            <w:pPr>
              <w:jc w:val="center"/>
              <w:rPr>
                <w:rFonts w:hint="eastAsia"/>
                <w:sz w:val="18"/>
                <w:szCs w:val="18"/>
                <w:vertAlign w:val="baseline"/>
                <w:lang w:val="en-US" w:eastAsia="zh-CN"/>
              </w:rPr>
            </w:pPr>
          </w:p>
        </w:tc>
        <w:tc>
          <w:tcPr>
            <w:tcW w:w="2182"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出口带宽总合</w:t>
            </w:r>
          </w:p>
        </w:tc>
        <w:tc>
          <w:tcPr>
            <w:tcW w:w="3317"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3660M</w:t>
            </w:r>
          </w:p>
        </w:tc>
        <w:tc>
          <w:tcPr>
            <w:tcW w:w="1485" w:type="dxa"/>
            <w:noWrap w:val="0"/>
            <w:vAlign w:val="center"/>
          </w:tcPr>
          <w:p>
            <w:pPr>
              <w:jc w:val="center"/>
              <w:rPr>
                <w:rFonts w:hint="eastAsia"/>
                <w:sz w:val="18"/>
                <w:szCs w:val="18"/>
                <w:vertAlign w:val="baseline"/>
                <w:lang w:val="en-US" w:eastAsia="zh-CN"/>
              </w:rPr>
            </w:pPr>
          </w:p>
        </w:tc>
        <w:tc>
          <w:tcPr>
            <w:tcW w:w="2182"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7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分项费用合计</w:t>
            </w:r>
          </w:p>
        </w:tc>
        <w:tc>
          <w:tcPr>
            <w:tcW w:w="3317" w:type="dxa"/>
            <w:gridSpan w:val="3"/>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137.5万/年</w:t>
            </w:r>
          </w:p>
        </w:tc>
        <w:tc>
          <w:tcPr>
            <w:tcW w:w="3667"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21.2642万/年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费用合计</w:t>
            </w:r>
          </w:p>
        </w:tc>
        <w:tc>
          <w:tcPr>
            <w:tcW w:w="6984" w:type="dxa"/>
            <w:gridSpan w:val="5"/>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158.7642万/年</w:t>
            </w:r>
          </w:p>
        </w:tc>
      </w:tr>
    </w:tbl>
    <w:p>
      <w:pPr>
        <w:widowControl/>
        <w:numPr>
          <w:ilvl w:val="0"/>
          <w:numId w:val="0"/>
        </w:numPr>
        <w:spacing w:line="360" w:lineRule="auto"/>
        <w:jc w:val="both"/>
        <w:rPr>
          <w:rFonts w:hint="eastAsia" w:asciiTheme="minorEastAsia" w:hAnsiTheme="minorEastAsia" w:eastAsiaTheme="minorEastAsia" w:cstheme="minorEastAsia"/>
          <w:b/>
          <w:bCs/>
          <w:color w:val="000000"/>
          <w:kern w:val="0"/>
          <w:sz w:val="24"/>
          <w:szCs w:val="24"/>
          <w:lang w:val="en-US" w:eastAsia="zh-CN" w:bidi="ar"/>
        </w:rPr>
      </w:pPr>
    </w:p>
    <w:p>
      <w:pPr>
        <w:widowControl/>
        <w:numPr>
          <w:ilvl w:val="0"/>
          <w:numId w:val="0"/>
        </w:numPr>
        <w:spacing w:line="360" w:lineRule="auto"/>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附表2   2019年各校区网络出口一览表</w:t>
      </w:r>
    </w:p>
    <w:tbl>
      <w:tblPr>
        <w:tblStyle w:val="12"/>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053"/>
        <w:gridCol w:w="1224"/>
        <w:gridCol w:w="1224"/>
        <w:gridCol w:w="1342"/>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84"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校区名称</w:t>
            </w:r>
          </w:p>
        </w:tc>
        <w:tc>
          <w:tcPr>
            <w:tcW w:w="1053"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出口带宽</w:t>
            </w:r>
          </w:p>
        </w:tc>
        <w:tc>
          <w:tcPr>
            <w:tcW w:w="1224" w:type="dxa"/>
            <w:noWrap w:val="0"/>
            <w:vAlign w:val="center"/>
          </w:tcPr>
          <w:p>
            <w:pPr>
              <w:jc w:val="center"/>
              <w:rPr>
                <w:rFonts w:hint="eastAsia" w:eastAsia="宋体"/>
                <w:b/>
                <w:bCs/>
                <w:sz w:val="18"/>
                <w:szCs w:val="18"/>
                <w:vertAlign w:val="baseline"/>
                <w:lang w:val="en-US" w:eastAsia="zh-CN"/>
              </w:rPr>
            </w:pPr>
            <w:r>
              <w:rPr>
                <w:rFonts w:hint="eastAsia" w:eastAsia="宋体"/>
                <w:b/>
                <w:bCs/>
                <w:sz w:val="18"/>
                <w:szCs w:val="18"/>
                <w:vertAlign w:val="baseline"/>
                <w:lang w:val="en-US" w:eastAsia="zh-CN"/>
              </w:rPr>
              <w:t>运营商</w:t>
            </w:r>
          </w:p>
        </w:tc>
        <w:tc>
          <w:tcPr>
            <w:tcW w:w="1224" w:type="dxa"/>
            <w:noWrap w:val="0"/>
            <w:vAlign w:val="center"/>
          </w:tcPr>
          <w:p>
            <w:pPr>
              <w:jc w:val="center"/>
              <w:rPr>
                <w:rFonts w:hint="eastAsia" w:eastAsia="宋体"/>
                <w:b/>
                <w:bCs/>
                <w:sz w:val="18"/>
                <w:szCs w:val="18"/>
                <w:vertAlign w:val="baseline"/>
                <w:lang w:val="en-US" w:eastAsia="zh-CN"/>
              </w:rPr>
            </w:pPr>
            <w:r>
              <w:rPr>
                <w:rFonts w:hint="eastAsia"/>
                <w:b/>
                <w:bCs/>
                <w:sz w:val="18"/>
                <w:szCs w:val="18"/>
                <w:vertAlign w:val="baseline"/>
                <w:lang w:val="en-US" w:eastAsia="zh-CN"/>
              </w:rPr>
              <w:t>年费（万）</w:t>
            </w:r>
          </w:p>
        </w:tc>
        <w:tc>
          <w:tcPr>
            <w:tcW w:w="1342"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服务覆盖范围</w:t>
            </w:r>
          </w:p>
        </w:tc>
        <w:tc>
          <w:tcPr>
            <w:tcW w:w="2170"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租用光纤费用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8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郭杜</w:t>
            </w:r>
          </w:p>
        </w:tc>
        <w:tc>
          <w:tcPr>
            <w:tcW w:w="1053" w:type="dxa"/>
            <w:noWrap w:val="0"/>
            <w:vAlign w:val="center"/>
          </w:tcPr>
          <w:p>
            <w:pPr>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2G</w:t>
            </w:r>
          </w:p>
        </w:tc>
        <w:tc>
          <w:tcPr>
            <w:tcW w:w="122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长安移动</w:t>
            </w:r>
          </w:p>
        </w:tc>
        <w:tc>
          <w:tcPr>
            <w:tcW w:w="1224"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15</w:t>
            </w:r>
          </w:p>
        </w:tc>
        <w:tc>
          <w:tcPr>
            <w:tcW w:w="13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六校区</w:t>
            </w:r>
          </w:p>
        </w:tc>
        <w:tc>
          <w:tcPr>
            <w:tcW w:w="2170"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电信光纤：33.894万/年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8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含光</w:t>
            </w:r>
          </w:p>
        </w:tc>
        <w:tc>
          <w:tcPr>
            <w:tcW w:w="1053" w:type="dxa"/>
            <w:noWrap w:val="0"/>
            <w:vAlign w:val="center"/>
          </w:tcPr>
          <w:p>
            <w:pPr>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200M</w:t>
            </w:r>
          </w:p>
        </w:tc>
        <w:tc>
          <w:tcPr>
            <w:tcW w:w="1224"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小寨电信</w:t>
            </w:r>
          </w:p>
        </w:tc>
        <w:tc>
          <w:tcPr>
            <w:tcW w:w="1224"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30</w:t>
            </w:r>
          </w:p>
        </w:tc>
        <w:tc>
          <w:tcPr>
            <w:tcW w:w="13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含光校区</w:t>
            </w:r>
          </w:p>
        </w:tc>
        <w:tc>
          <w:tcPr>
            <w:tcW w:w="2170"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84"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出口带宽总合</w:t>
            </w:r>
          </w:p>
        </w:tc>
        <w:tc>
          <w:tcPr>
            <w:tcW w:w="1053" w:type="dxa"/>
            <w:noWrap w:val="0"/>
            <w:vAlign w:val="center"/>
          </w:tcPr>
          <w:p>
            <w:pPr>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2200M</w:t>
            </w:r>
          </w:p>
        </w:tc>
        <w:tc>
          <w:tcPr>
            <w:tcW w:w="2448" w:type="dxa"/>
            <w:gridSpan w:val="2"/>
            <w:noWrap w:val="0"/>
            <w:vAlign w:val="center"/>
          </w:tcPr>
          <w:p>
            <w:pPr>
              <w:jc w:val="center"/>
              <w:rPr>
                <w:rFonts w:hint="eastAsia"/>
                <w:sz w:val="18"/>
                <w:szCs w:val="18"/>
                <w:vertAlign w:val="baseline"/>
                <w:lang w:val="en-US" w:eastAsia="zh-CN"/>
              </w:rPr>
            </w:pPr>
          </w:p>
        </w:tc>
        <w:tc>
          <w:tcPr>
            <w:tcW w:w="1342" w:type="dxa"/>
            <w:noWrap w:val="0"/>
            <w:vAlign w:val="center"/>
          </w:tcPr>
          <w:p>
            <w:pPr>
              <w:jc w:val="center"/>
              <w:rPr>
                <w:rFonts w:hint="eastAsia"/>
                <w:sz w:val="18"/>
                <w:szCs w:val="18"/>
                <w:vertAlign w:val="baseline"/>
                <w:lang w:val="en-US" w:eastAsia="zh-CN"/>
              </w:rPr>
            </w:pPr>
          </w:p>
        </w:tc>
        <w:tc>
          <w:tcPr>
            <w:tcW w:w="2170"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84" w:type="dxa"/>
            <w:noWrap w:val="0"/>
            <w:vAlign w:val="center"/>
          </w:tcPr>
          <w:p>
            <w:pPr>
              <w:jc w:val="center"/>
              <w:rPr>
                <w:rFonts w:hint="eastAsia"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分项费用合计</w:t>
            </w:r>
          </w:p>
        </w:tc>
        <w:tc>
          <w:tcPr>
            <w:tcW w:w="3501"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45万/年</w:t>
            </w:r>
          </w:p>
        </w:tc>
        <w:tc>
          <w:tcPr>
            <w:tcW w:w="3512"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33.894万/年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84" w:type="dxa"/>
            <w:noWrap w:val="0"/>
            <w:vAlign w:val="center"/>
          </w:tcPr>
          <w:p>
            <w:pPr>
              <w:jc w:val="center"/>
              <w:rPr>
                <w:rFonts w:hint="eastAsia"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费用合计</w:t>
            </w:r>
          </w:p>
        </w:tc>
        <w:tc>
          <w:tcPr>
            <w:tcW w:w="7013" w:type="dxa"/>
            <w:gridSpan w:val="5"/>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78.894万/年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（3）六校区网络网络互连后，保留郭杜校区出口2G作为总出口。</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（4）信息化管理范围基本覆盖全校各项主要工作领域，由原来的3550个信息点增加到4765个信息点，总增加34.22%。开发陕西工商职业学院管理与服务平台（AIC平台），通过终端进入平台办理各项业务。</w:t>
      </w:r>
    </w:p>
    <w:p>
      <w:pPr>
        <w:widowControl/>
        <w:spacing w:line="360" w:lineRule="auto"/>
        <w:jc w:val="center"/>
        <w:rPr>
          <w:rFonts w:hint="default" w:ascii="宋体" w:hAnsi="宋体" w:cs="宋体"/>
          <w:color w:val="000000"/>
          <w:kern w:val="0"/>
          <w:sz w:val="28"/>
          <w:szCs w:val="28"/>
          <w:lang w:val="en-US" w:eastAsia="zh-CN" w:bidi="ar"/>
        </w:rPr>
      </w:pPr>
      <w:r>
        <w:rPr>
          <w:rFonts w:hint="eastAsia" w:ascii="宋体" w:hAnsi="宋体" w:cs="宋体"/>
          <w:b/>
          <w:color w:val="000000"/>
          <w:kern w:val="0"/>
          <w:sz w:val="24"/>
          <w:szCs w:val="24"/>
          <w:lang w:bidi="ar"/>
        </w:rPr>
        <w:t>表7  2019年学校校舍及信息化教学条件与全国同类院校比较分析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1359"/>
        <w:gridCol w:w="1417"/>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noWrap w:val="0"/>
            <w:vAlign w:val="top"/>
          </w:tcPr>
          <w:p>
            <w:pPr>
              <w:widowControl/>
              <w:ind w:firstLine="1240" w:firstLineChars="5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73600" behindDoc="0" locked="0" layoutInCell="1" allowOverlap="1">
                      <wp:simplePos x="0" y="0"/>
                      <wp:positionH relativeFrom="column">
                        <wp:posOffset>-44450</wp:posOffset>
                      </wp:positionH>
                      <wp:positionV relativeFrom="paragraph">
                        <wp:posOffset>-6350</wp:posOffset>
                      </wp:positionV>
                      <wp:extent cx="1962785" cy="369570"/>
                      <wp:effectExtent l="635" t="4445" r="17780" b="6985"/>
                      <wp:wrapNone/>
                      <wp:docPr id="16" name="直接箭头连接符 16"/>
                      <wp:cNvGraphicFramePr/>
                      <a:graphic xmlns:a="http://schemas.openxmlformats.org/drawingml/2006/main">
                        <a:graphicData uri="http://schemas.microsoft.com/office/word/2010/wordprocessingShape">
                          <wps:wsp>
                            <wps:cNvCnPr/>
                            <wps:spPr>
                              <a:xfrm>
                                <a:off x="0" y="0"/>
                                <a:ext cx="1962785" cy="3695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pt;margin-top:-0.5pt;height:29.1pt;width:154.55pt;z-index:251673600;mso-width-relative:page;mso-height-relative:page;" filled="f" stroked="t" coordsize="21600,21600" o:gfxdata="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ym3&#10;/dcAAAAIAQAADwAAAAAAAAABACAAAAAiAAAAZHJzL2Rvd25yZXYueG1sUEsBAhQAFAAAAAgAh07i&#10;QE3ChR/qAQAApQMAAA4AAAAAAAAAAQAgAAAAJgEAAGRycy9lMm9Eb2MueG1sUEsFBgAAAAAGAAYA&#10;WQEAAIIFA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359" w:type="dxa"/>
            <w:noWrap w:val="0"/>
            <w:vAlign w:val="center"/>
          </w:tcPr>
          <w:p>
            <w:pPr>
              <w:widowControl/>
              <w:spacing w:line="360" w:lineRule="auto"/>
              <w:jc w:val="center"/>
              <w:rPr>
                <w:rFonts w:hint="eastAsia" w:ascii="宋体" w:hAnsi="宋体" w:cs="宋体"/>
                <w:b/>
                <w:kern w:val="0"/>
                <w:szCs w:val="21"/>
                <w:lang w:bidi="ar"/>
              </w:rPr>
            </w:pPr>
            <w:r>
              <w:rPr>
                <w:rFonts w:hint="eastAsia" w:ascii="宋体" w:hAnsi="宋体" w:cs="宋体"/>
                <w:b/>
                <w:kern w:val="0"/>
                <w:szCs w:val="21"/>
                <w:lang w:bidi="ar"/>
              </w:rPr>
              <w:t>学校指标值</w:t>
            </w:r>
          </w:p>
        </w:tc>
        <w:tc>
          <w:tcPr>
            <w:tcW w:w="141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7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2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144" w:type="dxa"/>
            <w:noWrap w:val="0"/>
            <w:vAlign w:val="center"/>
          </w:tcPr>
          <w:p>
            <w:pPr>
              <w:widowControl/>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生均教学行政用房（平方米/生）</w:t>
            </w:r>
          </w:p>
        </w:tc>
        <w:tc>
          <w:tcPr>
            <w:tcW w:w="1359"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kern w:val="0"/>
                <w:szCs w:val="21"/>
                <w:lang w:bidi="ar"/>
              </w:rPr>
              <w:t>21.17</w:t>
            </w:r>
          </w:p>
        </w:tc>
        <w:tc>
          <w:tcPr>
            <w:tcW w:w="1417"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kern w:val="0"/>
                <w:szCs w:val="21"/>
                <w:lang w:bidi="ar"/>
              </w:rPr>
              <w:t>18.18</w:t>
            </w:r>
          </w:p>
        </w:tc>
        <w:tc>
          <w:tcPr>
            <w:tcW w:w="1276"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kern w:val="0"/>
                <w:szCs w:val="21"/>
                <w:lang w:bidi="ar"/>
              </w:rPr>
              <w:t>12.65</w:t>
            </w:r>
          </w:p>
        </w:tc>
        <w:tc>
          <w:tcPr>
            <w:tcW w:w="1326"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kern w:val="0"/>
                <w:szCs w:val="21"/>
                <w:lang w:bidi="ar"/>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noWrap w:val="0"/>
            <w:vAlign w:val="center"/>
          </w:tcPr>
          <w:p>
            <w:pPr>
              <w:widowControl/>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本院相对其他院校的增减率（%）</w:t>
            </w:r>
          </w:p>
        </w:tc>
        <w:tc>
          <w:tcPr>
            <w:tcW w:w="1359"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rFonts w:hint="eastAsia"/>
                <w:kern w:val="0"/>
                <w:szCs w:val="21"/>
                <w:lang w:bidi="ar"/>
              </w:rPr>
              <w:t>0</w:t>
            </w:r>
          </w:p>
        </w:tc>
        <w:tc>
          <w:tcPr>
            <w:tcW w:w="1417"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rFonts w:hint="eastAsia"/>
                <w:kern w:val="0"/>
                <w:szCs w:val="21"/>
                <w:lang w:bidi="ar"/>
              </w:rPr>
              <w:t>+16.45</w:t>
            </w:r>
          </w:p>
        </w:tc>
        <w:tc>
          <w:tcPr>
            <w:tcW w:w="1276"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rFonts w:hint="eastAsia"/>
                <w:kern w:val="0"/>
                <w:szCs w:val="21"/>
                <w:lang w:bidi="ar"/>
              </w:rPr>
              <w:t>+67.35</w:t>
            </w:r>
          </w:p>
        </w:tc>
        <w:tc>
          <w:tcPr>
            <w:tcW w:w="1326" w:type="dxa"/>
            <w:noWrap w:val="0"/>
            <w:vAlign w:val="center"/>
          </w:tcPr>
          <w:p>
            <w:pPr>
              <w:widowControl/>
              <w:spacing w:line="360" w:lineRule="auto"/>
              <w:jc w:val="center"/>
              <w:rPr>
                <w:rFonts w:hint="eastAsia" w:ascii="Times New Roman" w:hAnsi="Times New Roman" w:eastAsia="宋体" w:cs="Times New Roman"/>
                <w:kern w:val="0"/>
                <w:sz w:val="21"/>
                <w:szCs w:val="21"/>
                <w:lang w:val="en-US" w:eastAsia="zh-CN" w:bidi="ar"/>
              </w:rPr>
            </w:pPr>
            <w:r>
              <w:rPr>
                <w:rFonts w:hint="eastAsia"/>
                <w:kern w:val="0"/>
                <w:szCs w:val="21"/>
                <w:lang w:bidi="ar"/>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noWrap w:val="0"/>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 w:val="18"/>
                <w:szCs w:val="18"/>
                <w:lang w:bidi="ar"/>
              </w:rPr>
              <w:t>百名学生配教学用计算机台数（台）</w:t>
            </w:r>
          </w:p>
        </w:tc>
        <w:tc>
          <w:tcPr>
            <w:tcW w:w="1359" w:type="dxa"/>
            <w:noWrap w:val="0"/>
            <w:vAlign w:val="center"/>
          </w:tcPr>
          <w:p>
            <w:pPr>
              <w:widowControl/>
              <w:spacing w:line="360" w:lineRule="auto"/>
              <w:jc w:val="center"/>
              <w:rPr>
                <w:color w:val="auto"/>
                <w:kern w:val="0"/>
                <w:szCs w:val="21"/>
                <w:lang w:bidi="ar"/>
              </w:rPr>
            </w:pPr>
            <w:r>
              <w:rPr>
                <w:color w:val="auto"/>
                <w:kern w:val="0"/>
                <w:szCs w:val="21"/>
                <w:lang w:bidi="ar"/>
              </w:rPr>
              <w:t>20.03</w:t>
            </w:r>
          </w:p>
        </w:tc>
        <w:tc>
          <w:tcPr>
            <w:tcW w:w="1417" w:type="dxa"/>
            <w:noWrap w:val="0"/>
            <w:vAlign w:val="center"/>
          </w:tcPr>
          <w:p>
            <w:pPr>
              <w:widowControl/>
              <w:spacing w:line="360" w:lineRule="auto"/>
              <w:jc w:val="center"/>
              <w:rPr>
                <w:color w:val="auto"/>
                <w:kern w:val="0"/>
                <w:szCs w:val="21"/>
                <w:lang w:bidi="ar"/>
              </w:rPr>
            </w:pPr>
            <w:r>
              <w:rPr>
                <w:color w:val="auto"/>
                <w:kern w:val="0"/>
                <w:szCs w:val="21"/>
                <w:lang w:bidi="ar"/>
              </w:rPr>
              <w:t>26.71</w:t>
            </w:r>
          </w:p>
        </w:tc>
        <w:tc>
          <w:tcPr>
            <w:tcW w:w="1276" w:type="dxa"/>
            <w:noWrap w:val="0"/>
            <w:vAlign w:val="center"/>
          </w:tcPr>
          <w:p>
            <w:pPr>
              <w:widowControl/>
              <w:spacing w:line="360" w:lineRule="auto"/>
              <w:jc w:val="center"/>
              <w:rPr>
                <w:color w:val="auto"/>
                <w:kern w:val="0"/>
                <w:szCs w:val="21"/>
                <w:lang w:bidi="ar"/>
              </w:rPr>
            </w:pPr>
            <w:r>
              <w:rPr>
                <w:color w:val="auto"/>
                <w:kern w:val="0"/>
                <w:szCs w:val="21"/>
                <w:lang w:bidi="ar"/>
              </w:rPr>
              <w:t>32.97</w:t>
            </w:r>
          </w:p>
        </w:tc>
        <w:tc>
          <w:tcPr>
            <w:tcW w:w="1326" w:type="dxa"/>
            <w:noWrap w:val="0"/>
            <w:vAlign w:val="center"/>
          </w:tcPr>
          <w:p>
            <w:pPr>
              <w:widowControl/>
              <w:spacing w:line="360" w:lineRule="auto"/>
              <w:jc w:val="center"/>
              <w:rPr>
                <w:color w:val="auto"/>
                <w:kern w:val="0"/>
                <w:szCs w:val="21"/>
                <w:lang w:bidi="ar"/>
              </w:rPr>
            </w:pPr>
            <w:r>
              <w:rPr>
                <w:color w:val="auto"/>
                <w:kern w:val="0"/>
                <w:szCs w:val="21"/>
                <w:lang w:bidi="ar"/>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本校相对其他院校的增减率（%）</w:t>
            </w:r>
          </w:p>
        </w:tc>
        <w:tc>
          <w:tcPr>
            <w:tcW w:w="1359" w:type="dxa"/>
            <w:noWrap w:val="0"/>
            <w:vAlign w:val="center"/>
          </w:tcPr>
          <w:p>
            <w:pPr>
              <w:widowControl/>
              <w:spacing w:line="360" w:lineRule="auto"/>
              <w:jc w:val="center"/>
              <w:rPr>
                <w:kern w:val="0"/>
                <w:szCs w:val="21"/>
                <w:lang w:bidi="ar"/>
              </w:rPr>
            </w:pPr>
            <w:r>
              <w:rPr>
                <w:rFonts w:hint="eastAsia"/>
                <w:kern w:val="0"/>
                <w:szCs w:val="21"/>
                <w:lang w:bidi="ar"/>
              </w:rPr>
              <w:t>0</w:t>
            </w:r>
          </w:p>
        </w:tc>
        <w:tc>
          <w:tcPr>
            <w:tcW w:w="1417" w:type="dxa"/>
            <w:noWrap w:val="0"/>
            <w:vAlign w:val="center"/>
          </w:tcPr>
          <w:p>
            <w:pPr>
              <w:widowControl/>
              <w:spacing w:line="360" w:lineRule="auto"/>
              <w:jc w:val="center"/>
              <w:rPr>
                <w:kern w:val="0"/>
                <w:szCs w:val="21"/>
                <w:lang w:bidi="ar"/>
              </w:rPr>
            </w:pPr>
            <w:r>
              <w:rPr>
                <w:rFonts w:hint="eastAsia"/>
                <w:kern w:val="0"/>
                <w:szCs w:val="21"/>
                <w:lang w:bidi="ar"/>
              </w:rPr>
              <w:t>-25.01</w:t>
            </w:r>
          </w:p>
        </w:tc>
        <w:tc>
          <w:tcPr>
            <w:tcW w:w="1276" w:type="dxa"/>
            <w:noWrap w:val="0"/>
            <w:vAlign w:val="center"/>
          </w:tcPr>
          <w:p>
            <w:pPr>
              <w:widowControl/>
              <w:spacing w:line="360" w:lineRule="auto"/>
              <w:jc w:val="center"/>
              <w:rPr>
                <w:kern w:val="0"/>
                <w:szCs w:val="21"/>
                <w:lang w:bidi="ar"/>
              </w:rPr>
            </w:pPr>
            <w:r>
              <w:rPr>
                <w:rFonts w:hint="eastAsia"/>
                <w:kern w:val="0"/>
                <w:szCs w:val="21"/>
                <w:lang w:bidi="ar"/>
              </w:rPr>
              <w:t>-39.25</w:t>
            </w:r>
          </w:p>
        </w:tc>
        <w:tc>
          <w:tcPr>
            <w:tcW w:w="1326" w:type="dxa"/>
            <w:noWrap w:val="0"/>
            <w:vAlign w:val="center"/>
          </w:tcPr>
          <w:p>
            <w:pPr>
              <w:widowControl/>
              <w:spacing w:line="360" w:lineRule="auto"/>
              <w:jc w:val="center"/>
              <w:rPr>
                <w:kern w:val="0"/>
                <w:szCs w:val="21"/>
                <w:lang w:bidi="ar"/>
              </w:rPr>
            </w:pPr>
            <w:r>
              <w:rPr>
                <w:rFonts w:hint="eastAsia"/>
                <w:kern w:val="0"/>
                <w:szCs w:val="21"/>
                <w:lang w:bidi="ar"/>
              </w:rPr>
              <w:t>-13.92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1.2019年我校生均教学行政用房的指标值大于“全国中位数”、“全国同类中位数”、“陕西省中位数”三个指标，我校的校舍在规模上已经达到全国及陕西省的中等水平。这就要求加强学校的校舍管理，合理调配校舍资源，提高校舍的利用率。</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截止2019年底，我校百名学生配教学用计算机台数由原来的17.28台增加至20.03台，但是，仍然低于全国中位数25.01%。我校基本的信息化办学条件近年来虽然有了明显的改善，但与全国同类院校相比，信息化教学条件目前处于相对较弱的水平。由于合并后学生数的增加，将主要资金用于专业、课程、师资等内涵建设的投入比重较大，在教学仪器、教学终端等方面的投入相对而言略有不足，学校将会继续努力为教师、学生提供更好的信息化教学条件。</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outlineLvl w:val="0"/>
        <w:rPr>
          <w:rFonts w:hint="eastAsia" w:ascii="宋体" w:hAnsi="宋体" w:eastAsia="宋体" w:cs="宋体"/>
          <w:b/>
          <w:bCs/>
          <w:sz w:val="28"/>
          <w:szCs w:val="28"/>
        </w:rPr>
      </w:pPr>
      <w:bookmarkStart w:id="8" w:name="_Toc30268"/>
      <w:r>
        <w:rPr>
          <w:rFonts w:hint="eastAsia" w:ascii="宋体" w:hAnsi="宋体" w:eastAsia="宋体" w:cs="宋体"/>
          <w:b/>
          <w:bCs/>
          <w:color w:val="000000"/>
          <w:kern w:val="0"/>
          <w:sz w:val="28"/>
          <w:szCs w:val="28"/>
          <w:lang w:bidi="ar"/>
        </w:rPr>
        <w:t>三、师资队伍建设情况分析</w:t>
      </w:r>
      <w:bookmarkEnd w:id="8"/>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outlineLvl w:val="1"/>
        <w:rPr>
          <w:rFonts w:hint="eastAsia" w:ascii="宋体" w:hAnsi="宋体" w:eastAsia="宋体" w:cs="宋体"/>
          <w:b/>
          <w:bCs/>
          <w:kern w:val="0"/>
          <w:sz w:val="28"/>
          <w:szCs w:val="28"/>
          <w:lang w:eastAsia="zh-CN" w:bidi="ar"/>
        </w:rPr>
      </w:pPr>
      <w:bookmarkStart w:id="9" w:name="_Toc10708"/>
      <w:r>
        <w:rPr>
          <w:rFonts w:hint="eastAsia" w:ascii="宋体" w:hAnsi="宋体" w:eastAsia="宋体" w:cs="宋体"/>
          <w:b/>
          <w:bCs/>
          <w:color w:val="000000"/>
          <w:kern w:val="0"/>
          <w:sz w:val="28"/>
          <w:szCs w:val="28"/>
          <w:lang w:bidi="ar"/>
        </w:rPr>
        <w:t>（一）师资队伍整体结构</w:t>
      </w:r>
      <w:r>
        <w:rPr>
          <w:rFonts w:hint="eastAsia" w:ascii="宋体" w:hAnsi="宋体" w:cs="宋体"/>
          <w:b/>
          <w:bCs/>
          <w:color w:val="000000"/>
          <w:kern w:val="0"/>
          <w:sz w:val="28"/>
          <w:szCs w:val="28"/>
          <w:lang w:eastAsia="zh-CN" w:bidi="ar"/>
        </w:rPr>
        <w:t>分析</w:t>
      </w:r>
      <w:bookmarkEnd w:id="9"/>
    </w:p>
    <w:p>
      <w:pPr>
        <w:widowControl/>
        <w:spacing w:line="360" w:lineRule="auto"/>
        <w:ind w:firstLine="236" w:firstLineChars="98"/>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表8   2019 年学校教师结构及主要建设情况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1"/>
        <w:gridCol w:w="1433"/>
        <w:gridCol w:w="128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121"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433"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289"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75"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 xml:space="preserve">生师比  </w:t>
            </w:r>
          </w:p>
        </w:tc>
        <w:tc>
          <w:tcPr>
            <w:tcW w:w="1433" w:type="dxa"/>
            <w:noWrap w:val="0"/>
            <w:vAlign w:val="center"/>
          </w:tcPr>
          <w:p>
            <w:pPr>
              <w:widowControl/>
              <w:spacing w:line="360" w:lineRule="auto"/>
              <w:jc w:val="center"/>
              <w:rPr>
                <w:color w:val="000000"/>
                <w:kern w:val="0"/>
                <w:szCs w:val="21"/>
                <w:lang w:bidi="ar"/>
              </w:rPr>
            </w:pPr>
            <w:r>
              <w:rPr>
                <w:color w:val="000000"/>
                <w:kern w:val="0"/>
                <w:szCs w:val="21"/>
                <w:lang w:bidi="ar"/>
              </w:rPr>
              <w:t>16.66</w:t>
            </w:r>
          </w:p>
        </w:tc>
        <w:tc>
          <w:tcPr>
            <w:tcW w:w="1289" w:type="dxa"/>
            <w:noWrap w:val="0"/>
            <w:vAlign w:val="center"/>
          </w:tcPr>
          <w:p>
            <w:pPr>
              <w:widowControl/>
              <w:spacing w:line="360" w:lineRule="auto"/>
              <w:jc w:val="center"/>
              <w:rPr>
                <w:color w:val="000000"/>
                <w:kern w:val="0"/>
                <w:szCs w:val="21"/>
                <w:lang w:bidi="ar"/>
              </w:rPr>
            </w:pPr>
            <w:r>
              <w:rPr>
                <w:color w:val="000000"/>
                <w:kern w:val="0"/>
                <w:szCs w:val="21"/>
                <w:lang w:bidi="ar"/>
              </w:rPr>
              <w:t>10.38</w:t>
            </w:r>
          </w:p>
        </w:tc>
        <w:tc>
          <w:tcPr>
            <w:tcW w:w="1575"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高级职称教师（人）  </w:t>
            </w:r>
          </w:p>
        </w:tc>
        <w:tc>
          <w:tcPr>
            <w:tcW w:w="1433" w:type="dxa"/>
            <w:noWrap w:val="0"/>
            <w:vAlign w:val="center"/>
          </w:tcPr>
          <w:p>
            <w:pPr>
              <w:widowControl/>
              <w:spacing w:line="360" w:lineRule="auto"/>
              <w:jc w:val="center"/>
              <w:rPr>
                <w:color w:val="000000"/>
                <w:kern w:val="0"/>
                <w:szCs w:val="21"/>
                <w:lang w:bidi="ar"/>
              </w:rPr>
            </w:pPr>
            <w:r>
              <w:rPr>
                <w:color w:val="000000"/>
                <w:kern w:val="0"/>
                <w:szCs w:val="21"/>
                <w:lang w:bidi="ar"/>
              </w:rPr>
              <w:t>116</w:t>
            </w:r>
          </w:p>
        </w:tc>
        <w:tc>
          <w:tcPr>
            <w:tcW w:w="1289" w:type="dxa"/>
            <w:noWrap w:val="0"/>
            <w:vAlign w:val="center"/>
          </w:tcPr>
          <w:p>
            <w:pPr>
              <w:widowControl/>
              <w:spacing w:line="360" w:lineRule="auto"/>
              <w:jc w:val="center"/>
              <w:rPr>
                <w:color w:val="000000"/>
                <w:kern w:val="0"/>
                <w:szCs w:val="21"/>
                <w:lang w:bidi="ar"/>
              </w:rPr>
            </w:pPr>
            <w:r>
              <w:rPr>
                <w:color w:val="000000"/>
                <w:kern w:val="0"/>
                <w:szCs w:val="21"/>
                <w:lang w:bidi="ar"/>
              </w:rPr>
              <w:t>202</w:t>
            </w:r>
          </w:p>
        </w:tc>
        <w:tc>
          <w:tcPr>
            <w:tcW w:w="1575"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+74.14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具有博士学位教师人数（人）</w:t>
            </w:r>
          </w:p>
        </w:tc>
        <w:tc>
          <w:tcPr>
            <w:tcW w:w="1433" w:type="dxa"/>
            <w:noWrap w:val="0"/>
            <w:vAlign w:val="center"/>
          </w:tcPr>
          <w:p>
            <w:pPr>
              <w:widowControl/>
              <w:spacing w:line="360" w:lineRule="auto"/>
              <w:jc w:val="center"/>
              <w:rPr>
                <w:kern w:val="0"/>
                <w:szCs w:val="21"/>
                <w:lang w:bidi="ar"/>
              </w:rPr>
            </w:pPr>
            <w:r>
              <w:rPr>
                <w:kern w:val="0"/>
                <w:szCs w:val="21"/>
                <w:lang w:bidi="ar"/>
              </w:rPr>
              <w:t>13</w:t>
            </w:r>
          </w:p>
        </w:tc>
        <w:tc>
          <w:tcPr>
            <w:tcW w:w="1289" w:type="dxa"/>
            <w:noWrap w:val="0"/>
            <w:vAlign w:val="center"/>
          </w:tcPr>
          <w:p>
            <w:pPr>
              <w:widowControl/>
              <w:spacing w:line="360" w:lineRule="auto"/>
              <w:jc w:val="center"/>
              <w:rPr>
                <w:kern w:val="0"/>
                <w:szCs w:val="21"/>
                <w:lang w:bidi="ar"/>
              </w:rPr>
            </w:pPr>
            <w:r>
              <w:rPr>
                <w:kern w:val="0"/>
                <w:szCs w:val="21"/>
                <w:lang w:bidi="ar"/>
              </w:rPr>
              <w:t>16</w:t>
            </w:r>
          </w:p>
        </w:tc>
        <w:tc>
          <w:tcPr>
            <w:tcW w:w="1575" w:type="dxa"/>
            <w:noWrap w:val="0"/>
            <w:vAlign w:val="center"/>
          </w:tcPr>
          <w:p>
            <w:pPr>
              <w:widowControl/>
              <w:spacing w:line="360" w:lineRule="auto"/>
              <w:jc w:val="center"/>
              <w:rPr>
                <w:kern w:val="0"/>
                <w:szCs w:val="21"/>
                <w:lang w:bidi="ar"/>
              </w:rPr>
            </w:pPr>
            <w:r>
              <w:rPr>
                <w:rFonts w:hint="eastAsia"/>
                <w:kern w:val="0"/>
                <w:szCs w:val="21"/>
                <w:lang w:bidi="ar"/>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具有硕士学位教师人数（人）</w:t>
            </w:r>
          </w:p>
        </w:tc>
        <w:tc>
          <w:tcPr>
            <w:tcW w:w="1433" w:type="dxa"/>
            <w:noWrap w:val="0"/>
            <w:vAlign w:val="center"/>
          </w:tcPr>
          <w:p>
            <w:pPr>
              <w:widowControl/>
              <w:spacing w:line="360" w:lineRule="auto"/>
              <w:jc w:val="center"/>
              <w:rPr>
                <w:kern w:val="0"/>
                <w:szCs w:val="21"/>
                <w:lang w:bidi="ar"/>
              </w:rPr>
            </w:pPr>
            <w:r>
              <w:rPr>
                <w:kern w:val="0"/>
                <w:szCs w:val="21"/>
                <w:lang w:bidi="ar"/>
              </w:rPr>
              <w:t>138</w:t>
            </w:r>
          </w:p>
        </w:tc>
        <w:tc>
          <w:tcPr>
            <w:tcW w:w="1289" w:type="dxa"/>
            <w:noWrap w:val="0"/>
            <w:vAlign w:val="center"/>
          </w:tcPr>
          <w:p>
            <w:pPr>
              <w:widowControl/>
              <w:spacing w:line="360" w:lineRule="auto"/>
              <w:jc w:val="center"/>
              <w:rPr>
                <w:kern w:val="0"/>
                <w:szCs w:val="21"/>
                <w:lang w:bidi="ar"/>
              </w:rPr>
            </w:pPr>
            <w:r>
              <w:rPr>
                <w:kern w:val="0"/>
                <w:szCs w:val="21"/>
                <w:lang w:bidi="ar"/>
              </w:rPr>
              <w:t>181</w:t>
            </w:r>
          </w:p>
        </w:tc>
        <w:tc>
          <w:tcPr>
            <w:tcW w:w="1575" w:type="dxa"/>
            <w:noWrap w:val="0"/>
            <w:vAlign w:val="center"/>
          </w:tcPr>
          <w:p>
            <w:pPr>
              <w:widowControl/>
              <w:spacing w:line="360" w:lineRule="auto"/>
              <w:jc w:val="center"/>
              <w:rPr>
                <w:kern w:val="0"/>
                <w:szCs w:val="21"/>
                <w:lang w:bidi="ar"/>
              </w:rPr>
            </w:pPr>
            <w:r>
              <w:rPr>
                <w:rFonts w:hint="eastAsia"/>
                <w:kern w:val="0"/>
                <w:szCs w:val="21"/>
                <w:lang w:bidi="ar"/>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45 岁以下专任教师人数（人）</w:t>
            </w:r>
          </w:p>
        </w:tc>
        <w:tc>
          <w:tcPr>
            <w:tcW w:w="1433" w:type="dxa"/>
            <w:noWrap w:val="0"/>
            <w:vAlign w:val="center"/>
          </w:tcPr>
          <w:p>
            <w:pPr>
              <w:widowControl/>
              <w:spacing w:line="360" w:lineRule="auto"/>
              <w:jc w:val="center"/>
              <w:rPr>
                <w:kern w:val="0"/>
                <w:szCs w:val="21"/>
                <w:lang w:bidi="ar"/>
              </w:rPr>
            </w:pPr>
            <w:r>
              <w:rPr>
                <w:kern w:val="0"/>
                <w:szCs w:val="21"/>
                <w:lang w:bidi="ar"/>
              </w:rPr>
              <w:t>209</w:t>
            </w:r>
          </w:p>
        </w:tc>
        <w:tc>
          <w:tcPr>
            <w:tcW w:w="1289" w:type="dxa"/>
            <w:noWrap w:val="0"/>
            <w:vAlign w:val="center"/>
          </w:tcPr>
          <w:p>
            <w:pPr>
              <w:widowControl/>
              <w:spacing w:line="360" w:lineRule="auto"/>
              <w:jc w:val="center"/>
              <w:rPr>
                <w:kern w:val="0"/>
                <w:szCs w:val="21"/>
                <w:lang w:bidi="ar"/>
              </w:rPr>
            </w:pPr>
            <w:r>
              <w:rPr>
                <w:kern w:val="0"/>
                <w:szCs w:val="21"/>
                <w:lang w:bidi="ar"/>
              </w:rPr>
              <w:t>363</w:t>
            </w:r>
          </w:p>
        </w:tc>
        <w:tc>
          <w:tcPr>
            <w:tcW w:w="1575" w:type="dxa"/>
            <w:noWrap w:val="0"/>
            <w:vAlign w:val="center"/>
          </w:tcPr>
          <w:p>
            <w:pPr>
              <w:widowControl/>
              <w:spacing w:line="360" w:lineRule="auto"/>
              <w:jc w:val="center"/>
              <w:rPr>
                <w:kern w:val="0"/>
                <w:szCs w:val="21"/>
                <w:lang w:bidi="ar"/>
              </w:rPr>
            </w:pPr>
            <w:r>
              <w:rPr>
                <w:rFonts w:hint="eastAsia"/>
                <w:kern w:val="0"/>
                <w:szCs w:val="21"/>
                <w:lang w:bidi="ar"/>
              </w:rPr>
              <w:t>+73.68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陕西省省级教学名师（名）</w:t>
            </w:r>
          </w:p>
        </w:tc>
        <w:tc>
          <w:tcPr>
            <w:tcW w:w="1433" w:type="dxa"/>
            <w:noWrap w:val="0"/>
            <w:vAlign w:val="center"/>
          </w:tcPr>
          <w:p>
            <w:pPr>
              <w:widowControl/>
              <w:spacing w:line="360" w:lineRule="auto"/>
              <w:jc w:val="center"/>
              <w:rPr>
                <w:kern w:val="0"/>
                <w:szCs w:val="21"/>
                <w:lang w:bidi="ar"/>
              </w:rPr>
            </w:pPr>
            <w:r>
              <w:rPr>
                <w:kern w:val="0"/>
                <w:szCs w:val="21"/>
                <w:lang w:bidi="ar"/>
              </w:rPr>
              <w:t>0</w:t>
            </w:r>
          </w:p>
        </w:tc>
        <w:tc>
          <w:tcPr>
            <w:tcW w:w="1289" w:type="dxa"/>
            <w:noWrap w:val="0"/>
            <w:vAlign w:val="center"/>
          </w:tcPr>
          <w:p>
            <w:pPr>
              <w:widowControl/>
              <w:spacing w:line="360" w:lineRule="auto"/>
              <w:jc w:val="center"/>
              <w:rPr>
                <w:kern w:val="0"/>
                <w:szCs w:val="21"/>
                <w:lang w:bidi="ar"/>
              </w:rPr>
            </w:pPr>
            <w:r>
              <w:rPr>
                <w:rFonts w:hint="eastAsia"/>
                <w:kern w:val="0"/>
                <w:szCs w:val="21"/>
                <w:lang w:bidi="ar"/>
              </w:rPr>
              <w:t>3</w:t>
            </w:r>
          </w:p>
        </w:tc>
        <w:tc>
          <w:tcPr>
            <w:tcW w:w="1575" w:type="dxa"/>
            <w:noWrap w:val="0"/>
            <w:vAlign w:val="center"/>
          </w:tcPr>
          <w:p>
            <w:pPr>
              <w:widowControl/>
              <w:spacing w:line="360" w:lineRule="auto"/>
              <w:jc w:val="center"/>
              <w:rPr>
                <w:kern w:val="0"/>
                <w:szCs w:val="21"/>
                <w:lang w:bidi="ar"/>
              </w:rPr>
            </w:pPr>
            <w:r>
              <w:rPr>
                <w:rFonts w:hint="eastAsia"/>
                <w:kern w:val="0"/>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2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其他各种荣誉（名）</w:t>
            </w:r>
          </w:p>
        </w:tc>
        <w:tc>
          <w:tcPr>
            <w:tcW w:w="1433" w:type="dxa"/>
            <w:noWrap w:val="0"/>
            <w:vAlign w:val="center"/>
          </w:tcPr>
          <w:p>
            <w:pPr>
              <w:widowControl/>
              <w:spacing w:line="360" w:lineRule="auto"/>
              <w:jc w:val="center"/>
              <w:rPr>
                <w:kern w:val="0"/>
                <w:szCs w:val="21"/>
                <w:lang w:bidi="ar"/>
              </w:rPr>
            </w:pPr>
            <w:r>
              <w:rPr>
                <w:kern w:val="0"/>
                <w:szCs w:val="21"/>
                <w:lang w:bidi="ar"/>
              </w:rPr>
              <w:t>0</w:t>
            </w:r>
          </w:p>
        </w:tc>
        <w:tc>
          <w:tcPr>
            <w:tcW w:w="1289" w:type="dxa"/>
            <w:noWrap w:val="0"/>
            <w:vAlign w:val="center"/>
          </w:tcPr>
          <w:p>
            <w:pPr>
              <w:widowControl/>
              <w:spacing w:line="360" w:lineRule="auto"/>
              <w:jc w:val="center"/>
              <w:rPr>
                <w:kern w:val="0"/>
                <w:szCs w:val="21"/>
                <w:lang w:bidi="ar"/>
              </w:rPr>
            </w:pPr>
            <w:r>
              <w:rPr>
                <w:kern w:val="0"/>
                <w:szCs w:val="21"/>
                <w:lang w:bidi="ar"/>
              </w:rPr>
              <w:t>2</w:t>
            </w:r>
          </w:p>
        </w:tc>
        <w:tc>
          <w:tcPr>
            <w:tcW w:w="1575" w:type="dxa"/>
            <w:noWrap w:val="0"/>
            <w:vAlign w:val="center"/>
          </w:tcPr>
          <w:p>
            <w:pPr>
              <w:widowControl/>
              <w:spacing w:line="360" w:lineRule="auto"/>
              <w:jc w:val="center"/>
              <w:rPr>
                <w:kern w:val="0"/>
                <w:szCs w:val="21"/>
                <w:lang w:bidi="ar"/>
              </w:rPr>
            </w:pPr>
            <w:r>
              <w:rPr>
                <w:rFonts w:hint="eastAsia"/>
                <w:kern w:val="0"/>
                <w:szCs w:val="21"/>
                <w:lang w:bidi="ar"/>
              </w:rPr>
              <w:t>+200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学校教职工总数852人，其中专任教师499人，全体教师中具有博士学位、硕士学位的占56.12%。专任教师中具有高级职称的占40.48%，具有中级职称的占37.47%，45岁以下教师占42.74%，各项数值都比2017年有了提升。专任教师职称、年龄、学历等结构基本合理，兼职教师责任心和实践教学能力强，基本满足学校人才培养工作需要。</w:t>
      </w:r>
    </w:p>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表8的数据中看到，在教师总量方面较2017年有较大优化，均高于全国高职院校中位数，由于陕西省政府实施职教资源整合后，学校与三所中职学校合并，教师总量有较大幅度增加。在师资队伍的内在实力上，我校目前拥有陕西省省级教学名师3名，但与其他同类院校相比较，我校在教学团队建设教师引进使用方面还存在一定差距。</w:t>
      </w:r>
    </w:p>
    <w:p>
      <w:pPr>
        <w:widowControl/>
        <w:spacing w:line="360" w:lineRule="auto"/>
        <w:ind w:firstLine="236" w:firstLineChars="98"/>
        <w:jc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表9   2019 年学校生师比与全国</w:t>
      </w:r>
      <w:r>
        <w:rPr>
          <w:rFonts w:hint="eastAsia" w:ascii="宋体" w:hAnsi="宋体" w:cs="宋体"/>
          <w:b/>
          <w:color w:val="000000"/>
          <w:kern w:val="0"/>
          <w:sz w:val="24"/>
          <w:szCs w:val="24"/>
          <w:lang w:eastAsia="zh-CN" w:bidi="ar"/>
        </w:rPr>
        <w:t>同</w:t>
      </w:r>
      <w:r>
        <w:rPr>
          <w:rFonts w:hint="eastAsia" w:ascii="宋体" w:hAnsi="宋体" w:cs="宋体"/>
          <w:b/>
          <w:color w:val="000000"/>
          <w:kern w:val="0"/>
          <w:sz w:val="24"/>
          <w:szCs w:val="24"/>
          <w:lang w:bidi="ar"/>
        </w:rPr>
        <w:t>类院校比较</w:t>
      </w:r>
      <w:r>
        <w:rPr>
          <w:rFonts w:hint="eastAsia" w:ascii="宋体" w:hAnsi="宋体" w:cs="宋体"/>
          <w:b/>
          <w:color w:val="000000"/>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1419"/>
        <w:gridCol w:w="1417"/>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top"/>
          </w:tcPr>
          <w:p>
            <w:pPr>
              <w:widowControl/>
              <w:ind w:firstLine="1240" w:firstLineChars="588"/>
              <w:jc w:val="left"/>
              <w:rPr>
                <w:rFonts w:hint="eastAsia" w:ascii="宋体" w:hAnsi="宋体" w:cs="宋体"/>
                <w:b/>
                <w:color w:val="000000"/>
                <w:kern w:val="0"/>
                <w:szCs w:val="21"/>
                <w:lang w:bidi="ar"/>
              </w:rPr>
            </w:pPr>
            <w:r>
              <w:rPr>
                <w:rFonts w:hint="eastAsia" w:ascii="宋体" w:hAnsi="宋体" w:cs="宋体"/>
                <w:b/>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3175</wp:posOffset>
                      </wp:positionV>
                      <wp:extent cx="1837055" cy="389255"/>
                      <wp:effectExtent l="1270" t="4445" r="9525" b="6350"/>
                      <wp:wrapNone/>
                      <wp:docPr id="4" name="直接箭头连接符 4"/>
                      <wp:cNvGraphicFramePr/>
                      <a:graphic xmlns:a="http://schemas.openxmlformats.org/drawingml/2006/main">
                        <a:graphicData uri="http://schemas.microsoft.com/office/word/2010/wordprocessingShape">
                          <wps:wsp>
                            <wps:cNvCnPr/>
                            <wps:spPr>
                              <a:xfrm>
                                <a:off x="0" y="0"/>
                                <a:ext cx="1837055" cy="389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30.65pt;width:144.65pt;z-index:251660288;mso-width-relative:page;mso-height-relative:page;" filled="f" stroked="t" coordsize="21600,21600" o:gfxdata="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CMcw1QAAAAYB&#10;AAAPAAAAAAAAAAEAIAAAACIAAABkcnMvZG93bnJldi54bWxQSwECFAAUAAAACACHTuJAsFTcpOUB&#10;AACjAwAADgAAAAAAAAABACAAAAAkAQAAZHJzL2Uyb0RvYy54bWxQSwUGAAAAAAYABgBZAQAAewUA&#10;AAAA&#10;">
                      <v:fill on="f" focussize="0,0"/>
                      <v:stroke color="#000000" joinstyle="round"/>
                      <v:imagedata o:title=""/>
                      <o:lock v:ext="edit" aspectratio="f"/>
                    </v:shape>
                  </w:pict>
                </mc:Fallback>
              </mc:AlternateContent>
            </w:r>
            <w:r>
              <w:rPr>
                <w:rFonts w:hint="eastAsia" w:ascii="宋体" w:hAnsi="宋体" w:cs="宋体"/>
                <w:b/>
                <w:color w:val="000000"/>
                <w:kern w:val="0"/>
                <w:szCs w:val="21"/>
                <w:lang w:bidi="ar"/>
              </w:rPr>
              <w:t>项目</w:t>
            </w:r>
          </w:p>
          <w:p>
            <w:pPr>
              <w:widowControl/>
              <w:jc w:val="left"/>
              <w:rPr>
                <w:rFonts w:hint="eastAsia" w:ascii="宋体" w:hAnsi="宋体" w:cs="宋体"/>
                <w:b/>
                <w:color w:val="000000"/>
                <w:kern w:val="0"/>
                <w:szCs w:val="21"/>
                <w:lang w:bidi="ar"/>
              </w:rPr>
            </w:pPr>
            <w:r>
              <w:rPr>
                <w:rFonts w:hint="eastAsia" w:ascii="宋体" w:hAnsi="宋体" w:cs="宋体"/>
                <w:b/>
                <w:color w:val="000000"/>
                <w:kern w:val="0"/>
                <w:szCs w:val="21"/>
                <w:lang w:bidi="ar"/>
              </w:rPr>
              <w:t>比较指标</w:t>
            </w:r>
          </w:p>
        </w:tc>
        <w:tc>
          <w:tcPr>
            <w:tcW w:w="1419" w:type="dxa"/>
            <w:noWrap w:val="0"/>
            <w:vAlign w:val="center"/>
          </w:tcPr>
          <w:p>
            <w:pPr>
              <w:widowControl/>
              <w:spacing w:line="360" w:lineRule="auto"/>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学校指标值</w:t>
            </w:r>
          </w:p>
        </w:tc>
        <w:tc>
          <w:tcPr>
            <w:tcW w:w="141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7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2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084" w:type="dxa"/>
            <w:noWrap w:val="0"/>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生师比</w:t>
            </w:r>
          </w:p>
        </w:tc>
        <w:tc>
          <w:tcPr>
            <w:tcW w:w="1419" w:type="dxa"/>
            <w:noWrap w:val="0"/>
            <w:vAlign w:val="center"/>
          </w:tcPr>
          <w:p>
            <w:pPr>
              <w:widowControl/>
              <w:spacing w:line="360" w:lineRule="auto"/>
              <w:jc w:val="center"/>
              <w:rPr>
                <w:color w:val="000000"/>
                <w:kern w:val="0"/>
                <w:szCs w:val="21"/>
                <w:lang w:bidi="ar"/>
              </w:rPr>
            </w:pPr>
            <w:r>
              <w:rPr>
                <w:color w:val="000000"/>
                <w:kern w:val="0"/>
                <w:szCs w:val="21"/>
                <w:lang w:bidi="ar"/>
              </w:rPr>
              <w:t>10.38</w:t>
            </w:r>
          </w:p>
        </w:tc>
        <w:tc>
          <w:tcPr>
            <w:tcW w:w="1417" w:type="dxa"/>
            <w:noWrap w:val="0"/>
            <w:vAlign w:val="center"/>
          </w:tcPr>
          <w:p>
            <w:pPr>
              <w:widowControl/>
              <w:spacing w:line="360" w:lineRule="auto"/>
              <w:jc w:val="center"/>
              <w:rPr>
                <w:kern w:val="0"/>
                <w:szCs w:val="21"/>
                <w:lang w:bidi="ar"/>
              </w:rPr>
            </w:pPr>
            <w:r>
              <w:rPr>
                <w:kern w:val="0"/>
                <w:szCs w:val="21"/>
                <w:lang w:bidi="ar"/>
              </w:rPr>
              <w:t>15.22</w:t>
            </w:r>
          </w:p>
        </w:tc>
        <w:tc>
          <w:tcPr>
            <w:tcW w:w="1276" w:type="dxa"/>
            <w:noWrap w:val="0"/>
            <w:vAlign w:val="center"/>
          </w:tcPr>
          <w:p>
            <w:pPr>
              <w:widowControl/>
              <w:spacing w:line="360" w:lineRule="auto"/>
              <w:jc w:val="center"/>
              <w:rPr>
                <w:kern w:val="0"/>
                <w:szCs w:val="21"/>
                <w:lang w:bidi="ar"/>
              </w:rPr>
            </w:pPr>
            <w:r>
              <w:rPr>
                <w:kern w:val="0"/>
                <w:szCs w:val="21"/>
                <w:lang w:bidi="ar"/>
              </w:rPr>
              <w:t>16.67</w:t>
            </w:r>
          </w:p>
        </w:tc>
        <w:tc>
          <w:tcPr>
            <w:tcW w:w="1326" w:type="dxa"/>
            <w:noWrap w:val="0"/>
            <w:vAlign w:val="center"/>
          </w:tcPr>
          <w:p>
            <w:pPr>
              <w:widowControl/>
              <w:spacing w:line="360" w:lineRule="auto"/>
              <w:jc w:val="center"/>
              <w:rPr>
                <w:kern w:val="0"/>
                <w:szCs w:val="21"/>
                <w:lang w:bidi="ar"/>
              </w:rPr>
            </w:pPr>
            <w:r>
              <w:rPr>
                <w:kern w:val="0"/>
                <w:szCs w:val="21"/>
                <w:lang w:bidi="ar"/>
              </w:rPr>
              <w:t>15.</w:t>
            </w:r>
            <w:r>
              <w:rPr>
                <w:rFonts w:hint="eastAsia"/>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本校相对其他院校的增减率（%）</w:t>
            </w:r>
          </w:p>
        </w:tc>
        <w:tc>
          <w:tcPr>
            <w:tcW w:w="1419"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0</w:t>
            </w:r>
          </w:p>
        </w:tc>
        <w:tc>
          <w:tcPr>
            <w:tcW w:w="1417"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-31.80</w:t>
            </w:r>
          </w:p>
        </w:tc>
        <w:tc>
          <w:tcPr>
            <w:tcW w:w="1276"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-37.73</w:t>
            </w:r>
          </w:p>
        </w:tc>
        <w:tc>
          <w:tcPr>
            <w:tcW w:w="1326"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具有博士、硕士学位教师占全体教师总数的比例（%）</w:t>
            </w:r>
          </w:p>
        </w:tc>
        <w:tc>
          <w:tcPr>
            <w:tcW w:w="1419" w:type="dxa"/>
            <w:noWrap w:val="0"/>
            <w:vAlign w:val="center"/>
          </w:tcPr>
          <w:p>
            <w:pPr>
              <w:widowControl/>
              <w:spacing w:line="360" w:lineRule="auto"/>
              <w:jc w:val="center"/>
              <w:rPr>
                <w:kern w:val="0"/>
                <w:szCs w:val="21"/>
                <w:lang w:bidi="ar"/>
              </w:rPr>
            </w:pPr>
            <w:r>
              <w:rPr>
                <w:rFonts w:hint="eastAsia"/>
                <w:kern w:val="0"/>
                <w:szCs w:val="21"/>
                <w:lang w:bidi="ar"/>
              </w:rPr>
              <w:t>56.12</w:t>
            </w:r>
          </w:p>
        </w:tc>
        <w:tc>
          <w:tcPr>
            <w:tcW w:w="1417" w:type="dxa"/>
            <w:noWrap w:val="0"/>
            <w:vAlign w:val="center"/>
          </w:tcPr>
          <w:p>
            <w:pPr>
              <w:widowControl/>
              <w:spacing w:line="360" w:lineRule="auto"/>
              <w:jc w:val="center"/>
              <w:rPr>
                <w:kern w:val="0"/>
                <w:szCs w:val="21"/>
                <w:lang w:bidi="ar"/>
              </w:rPr>
            </w:pPr>
            <w:r>
              <w:rPr>
                <w:rFonts w:hint="eastAsia"/>
                <w:kern w:val="0"/>
                <w:szCs w:val="21"/>
                <w:lang w:bidi="ar"/>
              </w:rPr>
              <w:t>52.88</w:t>
            </w:r>
          </w:p>
        </w:tc>
        <w:tc>
          <w:tcPr>
            <w:tcW w:w="1276" w:type="dxa"/>
            <w:noWrap w:val="0"/>
            <w:vAlign w:val="center"/>
          </w:tcPr>
          <w:p>
            <w:pPr>
              <w:widowControl/>
              <w:spacing w:line="360" w:lineRule="auto"/>
              <w:jc w:val="center"/>
              <w:rPr>
                <w:kern w:val="0"/>
                <w:szCs w:val="21"/>
                <w:lang w:bidi="ar"/>
              </w:rPr>
            </w:pPr>
            <w:r>
              <w:rPr>
                <w:rFonts w:hint="eastAsia"/>
                <w:kern w:val="0"/>
                <w:szCs w:val="21"/>
                <w:lang w:bidi="ar"/>
              </w:rPr>
              <w:t>64.41</w:t>
            </w:r>
          </w:p>
        </w:tc>
        <w:tc>
          <w:tcPr>
            <w:tcW w:w="1326" w:type="dxa"/>
            <w:noWrap w:val="0"/>
            <w:vAlign w:val="center"/>
          </w:tcPr>
          <w:p>
            <w:pPr>
              <w:widowControl/>
              <w:spacing w:line="360" w:lineRule="auto"/>
              <w:jc w:val="center"/>
              <w:rPr>
                <w:kern w:val="0"/>
                <w:szCs w:val="21"/>
                <w:lang w:bidi="ar"/>
              </w:rPr>
            </w:pPr>
            <w:r>
              <w:rPr>
                <w:rFonts w:hint="eastAsia"/>
                <w:kern w:val="0"/>
                <w:szCs w:val="21"/>
                <w:lang w:bidi="ar"/>
              </w:rPr>
              <w:t>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本校相对其他院校的增减率（%）</w:t>
            </w:r>
          </w:p>
        </w:tc>
        <w:tc>
          <w:tcPr>
            <w:tcW w:w="1419"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0</w:t>
            </w:r>
          </w:p>
        </w:tc>
        <w:tc>
          <w:tcPr>
            <w:tcW w:w="1417"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+6.13</w:t>
            </w:r>
          </w:p>
        </w:tc>
        <w:tc>
          <w:tcPr>
            <w:tcW w:w="1276"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-12.87</w:t>
            </w:r>
          </w:p>
        </w:tc>
        <w:tc>
          <w:tcPr>
            <w:tcW w:w="1326"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+0.18</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54" w:firstLineChars="19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表9的数据对比中看到，2019年生师比为10.38:1，高于全国高职院校中位数和陕西省中位数，主要原因是一方面由于招生学生数量有所回落，另一方面由于陕西省政府实施职教资源整合后，学校与三所中职学校合并，教师总量有较大幅度增加，且聘任286名优秀的校内、外兼职、兼课教师进行理论课和实践课教学。在师资队伍的结构组成上，高学历、高职称教师所占比重有所提升，但与全国同类院校仍有差距；与其他同类院校相比较，我校总体上在高学历、高技能、专家型教师引进使用方面还存在一定差距。</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cs="宋体"/>
          <w:sz w:val="28"/>
          <w:szCs w:val="28"/>
        </w:rPr>
      </w:pPr>
      <w:bookmarkStart w:id="10" w:name="_Toc12405"/>
      <w:r>
        <w:rPr>
          <w:rFonts w:hint="eastAsia" w:ascii="宋体" w:hAnsi="宋体" w:cs="宋体"/>
          <w:b/>
          <w:bCs/>
          <w:color w:val="000000"/>
          <w:kern w:val="0"/>
          <w:sz w:val="28"/>
          <w:szCs w:val="28"/>
          <w:lang w:bidi="ar"/>
        </w:rPr>
        <w:t>（二）师资队伍“双师素质”状况</w:t>
      </w:r>
      <w:bookmarkEnd w:id="1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rPr>
      </w:pPr>
      <w:r>
        <w:rPr>
          <w:rFonts w:hint="eastAsia" w:ascii="仿宋_GB2312" w:hAnsi="仿宋_GB2312" w:eastAsia="仿宋_GB2312" w:cs="仿宋_GB2312"/>
          <w:sz w:val="28"/>
          <w:szCs w:val="28"/>
          <w:lang w:val="en-US" w:eastAsia="zh-CN"/>
        </w:rPr>
        <w:t>在2017～2019年，我校通过各种形式的活动，积极推动师资队伍建设，针对生师比实际情况，科学合理地安排教师教育教学任务，有计划安排教师参加专业培训和企业顶岗实践，鼓励教师积极获取职业资格证和职业技能证，提高双师素质水平（见表10、11）。</w:t>
      </w:r>
    </w:p>
    <w:p>
      <w:pPr>
        <w:widowControl/>
        <w:spacing w:line="360" w:lineRule="auto"/>
        <w:ind w:firstLine="236" w:firstLineChars="98"/>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表10   2019 年学校“双师型”教师情况比较</w:t>
      </w:r>
    </w:p>
    <w:tbl>
      <w:tblPr>
        <w:tblStyle w:val="11"/>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1"/>
        <w:gridCol w:w="1446"/>
        <w:gridCol w:w="130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61"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446"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301"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90"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61" w:type="dxa"/>
            <w:noWrap w:val="0"/>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专任教师双师素质比例（%）</w:t>
            </w:r>
          </w:p>
        </w:tc>
        <w:tc>
          <w:tcPr>
            <w:tcW w:w="1446" w:type="dxa"/>
            <w:noWrap w:val="0"/>
            <w:vAlign w:val="center"/>
          </w:tcPr>
          <w:p>
            <w:pPr>
              <w:widowControl/>
              <w:spacing w:line="360" w:lineRule="auto"/>
              <w:jc w:val="center"/>
              <w:rPr>
                <w:color w:val="000000"/>
                <w:kern w:val="0"/>
                <w:szCs w:val="21"/>
                <w:lang w:bidi="ar"/>
              </w:rPr>
            </w:pPr>
            <w:r>
              <w:rPr>
                <w:color w:val="000000"/>
                <w:kern w:val="0"/>
                <w:szCs w:val="21"/>
                <w:lang w:bidi="ar"/>
              </w:rPr>
              <w:t>30.04</w:t>
            </w:r>
          </w:p>
        </w:tc>
        <w:tc>
          <w:tcPr>
            <w:tcW w:w="1301" w:type="dxa"/>
            <w:noWrap w:val="0"/>
            <w:vAlign w:val="center"/>
          </w:tcPr>
          <w:p>
            <w:pPr>
              <w:widowControl/>
              <w:spacing w:line="360" w:lineRule="auto"/>
              <w:jc w:val="center"/>
              <w:rPr>
                <w:color w:val="000000"/>
                <w:kern w:val="0"/>
                <w:szCs w:val="21"/>
                <w:lang w:bidi="ar"/>
              </w:rPr>
            </w:pPr>
            <w:r>
              <w:rPr>
                <w:color w:val="000000"/>
                <w:kern w:val="0"/>
                <w:szCs w:val="21"/>
                <w:lang w:bidi="ar"/>
              </w:rPr>
              <w:t>47.29</w:t>
            </w:r>
          </w:p>
        </w:tc>
        <w:tc>
          <w:tcPr>
            <w:tcW w:w="1590"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61"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专任教师技术专利获取率（%）</w:t>
            </w:r>
          </w:p>
        </w:tc>
        <w:tc>
          <w:tcPr>
            <w:tcW w:w="1446" w:type="dxa"/>
            <w:noWrap w:val="0"/>
            <w:vAlign w:val="center"/>
          </w:tcPr>
          <w:p>
            <w:pPr>
              <w:widowControl/>
              <w:spacing w:line="360" w:lineRule="auto"/>
              <w:jc w:val="center"/>
              <w:rPr>
                <w:color w:val="000000"/>
                <w:kern w:val="0"/>
                <w:szCs w:val="21"/>
                <w:lang w:bidi="ar"/>
              </w:rPr>
            </w:pPr>
            <w:r>
              <w:rPr>
                <w:color w:val="000000"/>
                <w:kern w:val="0"/>
                <w:szCs w:val="21"/>
                <w:lang w:bidi="ar"/>
              </w:rPr>
              <w:t>0</w:t>
            </w:r>
          </w:p>
        </w:tc>
        <w:tc>
          <w:tcPr>
            <w:tcW w:w="1301" w:type="dxa"/>
            <w:noWrap w:val="0"/>
            <w:vAlign w:val="center"/>
          </w:tcPr>
          <w:p>
            <w:pPr>
              <w:widowControl/>
              <w:spacing w:line="360" w:lineRule="auto"/>
              <w:jc w:val="center"/>
              <w:rPr>
                <w:color w:val="000000"/>
                <w:kern w:val="0"/>
                <w:szCs w:val="21"/>
                <w:lang w:bidi="ar"/>
              </w:rPr>
            </w:pPr>
            <w:r>
              <w:rPr>
                <w:color w:val="000000"/>
                <w:kern w:val="0"/>
                <w:szCs w:val="21"/>
                <w:lang w:bidi="ar"/>
              </w:rPr>
              <w:t>1</w:t>
            </w:r>
          </w:p>
        </w:tc>
        <w:tc>
          <w:tcPr>
            <w:tcW w:w="1590"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+100</w:t>
            </w:r>
          </w:p>
        </w:tc>
      </w:tr>
    </w:tbl>
    <w:p>
      <w:pPr>
        <w:widowControl/>
        <w:spacing w:line="360" w:lineRule="auto"/>
        <w:jc w:val="both"/>
        <w:rPr>
          <w:rFonts w:hint="eastAsia" w:ascii="宋体" w:hAnsi="宋体" w:cs="宋体"/>
          <w:b/>
          <w:color w:val="000000"/>
          <w:kern w:val="0"/>
          <w:sz w:val="24"/>
          <w:szCs w:val="24"/>
          <w:lang w:bidi="ar"/>
        </w:rPr>
      </w:pPr>
    </w:p>
    <w:p>
      <w:pPr>
        <w:widowControl/>
        <w:spacing w:line="360" w:lineRule="auto"/>
        <w:jc w:val="both"/>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表11  2019年学校“双师素质”教师占专任教师比例与全国同类院校比较</w:t>
      </w:r>
      <w:r>
        <w:rPr>
          <w:rFonts w:hint="eastAsia" w:ascii="宋体" w:hAnsi="宋体" w:cs="宋体"/>
          <w:b/>
          <w:color w:val="000000"/>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1570"/>
        <w:gridCol w:w="1197"/>
        <w:gridCol w:w="127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36" w:type="dxa"/>
            <w:noWrap w:val="0"/>
            <w:vAlign w:val="top"/>
          </w:tcPr>
          <w:p>
            <w:pPr>
              <w:widowControl/>
              <w:ind w:firstLine="1240" w:firstLineChars="5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3175</wp:posOffset>
                      </wp:positionV>
                      <wp:extent cx="1972310" cy="370840"/>
                      <wp:effectExtent l="635" t="4445" r="8255" b="5715"/>
                      <wp:wrapNone/>
                      <wp:docPr id="5" name="直接箭头连接符 5"/>
                      <wp:cNvGraphicFramePr/>
                      <a:graphic xmlns:a="http://schemas.openxmlformats.org/drawingml/2006/main">
                        <a:graphicData uri="http://schemas.microsoft.com/office/word/2010/wordprocessingShape">
                          <wps:wsp>
                            <wps:cNvCnPr/>
                            <wps:spPr>
                              <a:xfrm>
                                <a:off x="0" y="0"/>
                                <a:ext cx="1972310" cy="370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29.2pt;width:155.3pt;z-index:251661312;mso-width-relative:page;mso-height-relative:page;" filled="f" stroked="t" coordsize="21600,21600" o:gfxdata="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vZeWdUA&#10;AAAGAQAADwAAAAAAAAABACAAAAAiAAAAZHJzL2Rvd25yZXYueG1sUEsBAhQAFAAAAAgAh07iQIiA&#10;V1vpAQAAowMAAA4AAAAAAAAAAQAgAAAAJAEAAGRycy9lMm9Eb2MueG1sUEsFBgAAAAAGAAYAWQEA&#10;AH8FA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570" w:type="dxa"/>
            <w:noWrap w:val="0"/>
            <w:vAlign w:val="center"/>
          </w:tcPr>
          <w:p>
            <w:pPr>
              <w:widowControl/>
              <w:spacing w:line="360" w:lineRule="auto"/>
              <w:jc w:val="center"/>
              <w:rPr>
                <w:rFonts w:hint="eastAsia" w:ascii="宋体" w:hAnsi="宋体" w:cs="宋体"/>
                <w:b/>
                <w:kern w:val="0"/>
                <w:szCs w:val="21"/>
                <w:lang w:bidi="ar"/>
              </w:rPr>
            </w:pPr>
            <w:r>
              <w:rPr>
                <w:rFonts w:hint="eastAsia" w:ascii="宋体" w:hAnsi="宋体" w:cs="宋体"/>
                <w:b/>
                <w:kern w:val="0"/>
                <w:szCs w:val="21"/>
                <w:lang w:bidi="ar"/>
              </w:rPr>
              <w:t>学校指标值</w:t>
            </w:r>
          </w:p>
        </w:tc>
        <w:tc>
          <w:tcPr>
            <w:tcW w:w="119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72"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322"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36"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专任教师双师素质比例（%）</w:t>
            </w:r>
          </w:p>
        </w:tc>
        <w:tc>
          <w:tcPr>
            <w:tcW w:w="1570" w:type="dxa"/>
            <w:noWrap w:val="0"/>
            <w:vAlign w:val="center"/>
          </w:tcPr>
          <w:p>
            <w:pPr>
              <w:widowControl/>
              <w:spacing w:line="360" w:lineRule="auto"/>
              <w:jc w:val="center"/>
              <w:rPr>
                <w:kern w:val="0"/>
                <w:szCs w:val="21"/>
                <w:lang w:bidi="ar"/>
              </w:rPr>
            </w:pPr>
            <w:r>
              <w:rPr>
                <w:kern w:val="0"/>
                <w:szCs w:val="21"/>
                <w:lang w:bidi="ar"/>
              </w:rPr>
              <w:t>47.29</w:t>
            </w:r>
          </w:p>
        </w:tc>
        <w:tc>
          <w:tcPr>
            <w:tcW w:w="1197" w:type="dxa"/>
            <w:noWrap w:val="0"/>
            <w:vAlign w:val="center"/>
          </w:tcPr>
          <w:p>
            <w:pPr>
              <w:widowControl/>
              <w:spacing w:line="360" w:lineRule="auto"/>
              <w:jc w:val="center"/>
              <w:rPr>
                <w:kern w:val="0"/>
                <w:szCs w:val="21"/>
                <w:lang w:bidi="ar"/>
              </w:rPr>
            </w:pPr>
            <w:r>
              <w:rPr>
                <w:rFonts w:hint="eastAsia"/>
                <w:kern w:val="0"/>
                <w:szCs w:val="21"/>
                <w:lang w:bidi="ar"/>
              </w:rPr>
              <w:t>56.07</w:t>
            </w:r>
          </w:p>
        </w:tc>
        <w:tc>
          <w:tcPr>
            <w:tcW w:w="1272" w:type="dxa"/>
            <w:noWrap w:val="0"/>
            <w:vAlign w:val="center"/>
          </w:tcPr>
          <w:p>
            <w:pPr>
              <w:widowControl/>
              <w:spacing w:line="360" w:lineRule="auto"/>
              <w:jc w:val="center"/>
              <w:rPr>
                <w:kern w:val="0"/>
                <w:szCs w:val="21"/>
                <w:lang w:bidi="ar"/>
              </w:rPr>
            </w:pPr>
            <w:r>
              <w:rPr>
                <w:rFonts w:hint="eastAsia"/>
                <w:kern w:val="0"/>
                <w:szCs w:val="21"/>
                <w:lang w:bidi="ar"/>
              </w:rPr>
              <w:t>56.18</w:t>
            </w:r>
          </w:p>
        </w:tc>
        <w:tc>
          <w:tcPr>
            <w:tcW w:w="1322" w:type="dxa"/>
            <w:noWrap w:val="0"/>
            <w:vAlign w:val="center"/>
          </w:tcPr>
          <w:p>
            <w:pPr>
              <w:widowControl/>
              <w:spacing w:line="360" w:lineRule="auto"/>
              <w:jc w:val="center"/>
              <w:rPr>
                <w:kern w:val="0"/>
                <w:szCs w:val="21"/>
                <w:lang w:bidi="ar"/>
              </w:rPr>
            </w:pPr>
            <w:r>
              <w:rPr>
                <w:rFonts w:hint="eastAsia"/>
                <w:kern w:val="0"/>
                <w:szCs w:val="21"/>
                <w:lang w:bidi="ar"/>
              </w:rPr>
              <w:t>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36"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本校相对其他院校增减百分点</w:t>
            </w:r>
          </w:p>
        </w:tc>
        <w:tc>
          <w:tcPr>
            <w:tcW w:w="1570" w:type="dxa"/>
            <w:noWrap w:val="0"/>
            <w:vAlign w:val="center"/>
          </w:tcPr>
          <w:p>
            <w:pPr>
              <w:widowControl/>
              <w:spacing w:line="360" w:lineRule="auto"/>
              <w:jc w:val="center"/>
              <w:rPr>
                <w:kern w:val="0"/>
                <w:szCs w:val="21"/>
                <w:lang w:bidi="ar"/>
              </w:rPr>
            </w:pPr>
            <w:r>
              <w:rPr>
                <w:kern w:val="0"/>
                <w:szCs w:val="21"/>
                <w:lang w:bidi="ar"/>
              </w:rPr>
              <w:t>0</w:t>
            </w:r>
          </w:p>
        </w:tc>
        <w:tc>
          <w:tcPr>
            <w:tcW w:w="1197" w:type="dxa"/>
            <w:noWrap w:val="0"/>
            <w:vAlign w:val="center"/>
          </w:tcPr>
          <w:p>
            <w:pPr>
              <w:widowControl/>
              <w:spacing w:line="360" w:lineRule="auto"/>
              <w:jc w:val="center"/>
              <w:rPr>
                <w:kern w:val="0"/>
                <w:szCs w:val="21"/>
                <w:lang w:bidi="ar"/>
              </w:rPr>
            </w:pPr>
            <w:r>
              <w:rPr>
                <w:rFonts w:hint="eastAsia"/>
                <w:kern w:val="0"/>
                <w:szCs w:val="21"/>
                <w:lang w:bidi="ar"/>
              </w:rPr>
              <w:t>-15.66</w:t>
            </w:r>
          </w:p>
        </w:tc>
        <w:tc>
          <w:tcPr>
            <w:tcW w:w="1272" w:type="dxa"/>
            <w:noWrap w:val="0"/>
            <w:vAlign w:val="center"/>
          </w:tcPr>
          <w:p>
            <w:pPr>
              <w:widowControl/>
              <w:spacing w:line="360" w:lineRule="auto"/>
              <w:jc w:val="center"/>
              <w:rPr>
                <w:kern w:val="0"/>
                <w:szCs w:val="21"/>
                <w:lang w:bidi="ar"/>
              </w:rPr>
            </w:pPr>
            <w:r>
              <w:rPr>
                <w:rFonts w:hint="eastAsia"/>
                <w:kern w:val="0"/>
                <w:szCs w:val="21"/>
                <w:lang w:bidi="ar"/>
              </w:rPr>
              <w:t>-15.82</w:t>
            </w:r>
          </w:p>
        </w:tc>
        <w:tc>
          <w:tcPr>
            <w:tcW w:w="1322" w:type="dxa"/>
            <w:noWrap w:val="0"/>
            <w:vAlign w:val="center"/>
          </w:tcPr>
          <w:p>
            <w:pPr>
              <w:widowControl/>
              <w:spacing w:line="360" w:lineRule="auto"/>
              <w:jc w:val="center"/>
              <w:rPr>
                <w:kern w:val="0"/>
                <w:szCs w:val="21"/>
                <w:lang w:bidi="ar"/>
              </w:rPr>
            </w:pPr>
            <w:r>
              <w:rPr>
                <w:rFonts w:hint="eastAsia"/>
                <w:kern w:val="0"/>
                <w:szCs w:val="21"/>
                <w:lang w:bidi="ar"/>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36"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专任教师技术专利获取率（%）</w:t>
            </w:r>
          </w:p>
        </w:tc>
        <w:tc>
          <w:tcPr>
            <w:tcW w:w="1570" w:type="dxa"/>
            <w:noWrap w:val="0"/>
            <w:vAlign w:val="center"/>
          </w:tcPr>
          <w:p>
            <w:pPr>
              <w:widowControl/>
              <w:spacing w:line="360" w:lineRule="auto"/>
              <w:jc w:val="center"/>
              <w:rPr>
                <w:kern w:val="0"/>
                <w:szCs w:val="21"/>
                <w:lang w:bidi="ar"/>
              </w:rPr>
            </w:pPr>
            <w:r>
              <w:rPr>
                <w:kern w:val="0"/>
                <w:szCs w:val="21"/>
                <w:lang w:bidi="ar"/>
              </w:rPr>
              <w:t>1</w:t>
            </w:r>
          </w:p>
        </w:tc>
        <w:tc>
          <w:tcPr>
            <w:tcW w:w="1197" w:type="dxa"/>
            <w:noWrap w:val="0"/>
            <w:vAlign w:val="center"/>
          </w:tcPr>
          <w:p>
            <w:pPr>
              <w:widowControl/>
              <w:spacing w:line="360" w:lineRule="auto"/>
              <w:jc w:val="center"/>
              <w:rPr>
                <w:kern w:val="0"/>
                <w:szCs w:val="21"/>
                <w:lang w:bidi="ar"/>
              </w:rPr>
            </w:pPr>
            <w:r>
              <w:rPr>
                <w:kern w:val="0"/>
                <w:szCs w:val="21"/>
                <w:lang w:bidi="ar"/>
              </w:rPr>
              <w:t>2.79</w:t>
            </w:r>
          </w:p>
        </w:tc>
        <w:tc>
          <w:tcPr>
            <w:tcW w:w="1272" w:type="dxa"/>
            <w:noWrap w:val="0"/>
            <w:vAlign w:val="center"/>
          </w:tcPr>
          <w:p>
            <w:pPr>
              <w:widowControl/>
              <w:spacing w:line="360" w:lineRule="auto"/>
              <w:jc w:val="center"/>
              <w:rPr>
                <w:kern w:val="0"/>
                <w:szCs w:val="21"/>
                <w:lang w:bidi="ar"/>
              </w:rPr>
            </w:pPr>
            <w:r>
              <w:rPr>
                <w:kern w:val="0"/>
                <w:szCs w:val="21"/>
                <w:lang w:bidi="ar"/>
              </w:rPr>
              <w:t>1.03</w:t>
            </w:r>
          </w:p>
        </w:tc>
        <w:tc>
          <w:tcPr>
            <w:tcW w:w="1322" w:type="dxa"/>
            <w:noWrap w:val="0"/>
            <w:vAlign w:val="center"/>
          </w:tcPr>
          <w:p>
            <w:pPr>
              <w:widowControl/>
              <w:spacing w:line="360" w:lineRule="auto"/>
              <w:jc w:val="center"/>
              <w:rPr>
                <w:kern w:val="0"/>
                <w:szCs w:val="21"/>
                <w:lang w:bidi="ar"/>
              </w:rPr>
            </w:pPr>
            <w:r>
              <w:rPr>
                <w:kern w:val="0"/>
                <w:szCs w:val="21"/>
                <w:lang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136"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本校相对其他院校增减百分点</w:t>
            </w:r>
          </w:p>
        </w:tc>
        <w:tc>
          <w:tcPr>
            <w:tcW w:w="1570" w:type="dxa"/>
            <w:noWrap w:val="0"/>
            <w:vAlign w:val="center"/>
          </w:tcPr>
          <w:p>
            <w:pPr>
              <w:widowControl/>
              <w:spacing w:line="360" w:lineRule="auto"/>
              <w:jc w:val="center"/>
              <w:rPr>
                <w:kern w:val="0"/>
                <w:szCs w:val="21"/>
                <w:lang w:bidi="ar"/>
              </w:rPr>
            </w:pPr>
            <w:r>
              <w:rPr>
                <w:kern w:val="0"/>
                <w:szCs w:val="21"/>
                <w:lang w:bidi="ar"/>
              </w:rPr>
              <w:t>0</w:t>
            </w:r>
          </w:p>
        </w:tc>
        <w:tc>
          <w:tcPr>
            <w:tcW w:w="1197" w:type="dxa"/>
            <w:noWrap w:val="0"/>
            <w:vAlign w:val="center"/>
          </w:tcPr>
          <w:p>
            <w:pPr>
              <w:widowControl/>
              <w:spacing w:line="360" w:lineRule="auto"/>
              <w:jc w:val="center"/>
              <w:rPr>
                <w:kern w:val="0"/>
                <w:szCs w:val="21"/>
                <w:lang w:bidi="ar"/>
              </w:rPr>
            </w:pPr>
            <w:r>
              <w:rPr>
                <w:rFonts w:hint="eastAsia"/>
                <w:kern w:val="0"/>
                <w:szCs w:val="21"/>
                <w:lang w:bidi="ar"/>
              </w:rPr>
              <w:t>-64.16</w:t>
            </w:r>
          </w:p>
        </w:tc>
        <w:tc>
          <w:tcPr>
            <w:tcW w:w="1272" w:type="dxa"/>
            <w:noWrap w:val="0"/>
            <w:vAlign w:val="center"/>
          </w:tcPr>
          <w:p>
            <w:pPr>
              <w:widowControl/>
              <w:spacing w:line="360" w:lineRule="auto"/>
              <w:jc w:val="center"/>
              <w:rPr>
                <w:kern w:val="0"/>
                <w:szCs w:val="21"/>
                <w:lang w:bidi="ar"/>
              </w:rPr>
            </w:pPr>
            <w:r>
              <w:rPr>
                <w:rFonts w:hint="eastAsia"/>
                <w:kern w:val="0"/>
                <w:szCs w:val="21"/>
                <w:lang w:bidi="ar"/>
              </w:rPr>
              <w:t>-2.91</w:t>
            </w:r>
          </w:p>
        </w:tc>
        <w:tc>
          <w:tcPr>
            <w:tcW w:w="1322" w:type="dxa"/>
            <w:noWrap w:val="0"/>
            <w:vAlign w:val="center"/>
          </w:tcPr>
          <w:p>
            <w:pPr>
              <w:widowControl/>
              <w:spacing w:line="360" w:lineRule="auto"/>
              <w:jc w:val="center"/>
              <w:rPr>
                <w:kern w:val="0"/>
                <w:szCs w:val="21"/>
                <w:lang w:bidi="ar"/>
              </w:rPr>
            </w:pPr>
            <w:r>
              <w:rPr>
                <w:rFonts w:hint="eastAsia"/>
                <w:kern w:val="0"/>
                <w:szCs w:val="21"/>
                <w:lang w:bidi="ar"/>
              </w:rPr>
              <w:t>-50.74</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rPr>
      </w:pPr>
      <w:r>
        <w:rPr>
          <w:rFonts w:hint="eastAsia" w:ascii="仿宋_GB2312" w:hAnsi="仿宋_GB2312" w:eastAsia="仿宋_GB2312" w:cs="仿宋_GB2312"/>
          <w:sz w:val="28"/>
          <w:szCs w:val="28"/>
          <w:lang w:val="en-US" w:eastAsia="zh-CN"/>
        </w:rPr>
        <w:t>学校2019年“双师型”教师数为236人，占全体专任教师的47.29%，较2017年有较大优化，按地区比较，我校位于陕西中位数，按全国同类院校比较，远低于中位数。总体来看，我校“双师型”教师数量经过近三年的建设发展，整体情况得到大幅提升，但与全国同类院校相比仍有一定差距。</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outlineLvl w:val="1"/>
        <w:rPr>
          <w:rFonts w:hint="eastAsia" w:ascii="宋体" w:hAnsi="宋体" w:eastAsia="宋体" w:cs="宋体"/>
          <w:b/>
          <w:bCs/>
          <w:color w:val="000000"/>
          <w:kern w:val="0"/>
          <w:sz w:val="28"/>
          <w:szCs w:val="28"/>
          <w:lang w:eastAsia="zh-CN" w:bidi="ar"/>
        </w:rPr>
      </w:pPr>
      <w:bookmarkStart w:id="11" w:name="_Toc20617"/>
      <w:r>
        <w:rPr>
          <w:rFonts w:hint="eastAsia" w:ascii="宋体" w:hAnsi="宋体" w:cs="宋体"/>
          <w:b/>
          <w:bCs/>
          <w:color w:val="000000"/>
          <w:kern w:val="0"/>
          <w:sz w:val="28"/>
          <w:szCs w:val="28"/>
          <w:lang w:bidi="ar"/>
        </w:rPr>
        <w:t>（三）师资队伍建设情况及效果</w:t>
      </w:r>
      <w:bookmarkEnd w:id="1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立健全师德建设长效机制，引导教师做“四有”好老师。构建符合本校实际、科学有效的师德师风考核机制，并将考评结果作为教师年度考核、职称评聘、干部任用、评优评先的重要依据。组织开展教师职业行为“十项准则”等学习教育活动；在各校区重点教学区域悬挂了“新时代高校教师职业行为十项准则”牌匾；发放家庭美德相关书籍；组织教职工参加师德师风相关培训。付琪老师2018年被省教育厅评为师德先进个人，旅游与酒店管理学院2018年被省教育厅评为师德先进集体。</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大教师培训进修力度，着力提高教师教学能力和水平。实行新教师教学入职培训制度，组织新教师短期集中培训；组织学科专业带头人、骨干教师分批次赴江苏经贸职业学院、浙江金融职业学院、桂林旅游学院等省内外高水平职业院校进行考察学习；开展思政课教师大练兵、坚持集体备课说课等，不断强化思想政治理论课建设培训。</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年来，我校刘志选老师被评为省级教书育人楷模、省级高等学校教学名师；张君升老师被评为省级教书育人楷模、省级职业学校教学名师；刘晓花老师被评省级高等学校教学名师；封京梅、陈佩老师入选“陕西高校青年杰出人才支持计划”；刘晓花、郭磊老师入选“国家开放大学首届优秀青年教师”选拔及培养计划，李红卫老师获全国首届“物流职业教育教学名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3.开展教师企业实践活动，提高教师双师素质能力。出台《陕西广播电视大学 陕西工商职业学院专职教师企业实践管理办法》，与企业共同开展“双师”结构教师队伍建设。近年来每年选派200余人次的中青年教师分别赴南京工业职业技术学院、江苏建筑职业技术学院等院校和西安皇冠假日酒店、西安创业物业发展有限公司等合作办学企业参加实践锻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4.开展教师信息化教育教学技术专项培训，推进教育教学改革。组织全校教师开展信息化教育教学技术专项培训、微课教学比赛等，运用现代信息手段推进教育教学改革工作。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积极促进对外学习交流，开拓教师视野。学校与瑞士洛桑酒店、德国德拓育技术学院开展合作，先后选派20余名教师赴德国、瑞士、新加坡及国内一流大学进行教师专业发展理念与实践、信息化教学技能培训等方面的专题学习。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eastAsia="宋体" w:cs="宋体"/>
          <w:b/>
          <w:bCs/>
          <w:sz w:val="28"/>
          <w:szCs w:val="28"/>
        </w:rPr>
      </w:pPr>
      <w:bookmarkStart w:id="12" w:name="_Toc19415"/>
      <w:r>
        <w:rPr>
          <w:rFonts w:hint="eastAsia" w:ascii="宋体" w:hAnsi="宋体" w:eastAsia="宋体" w:cs="宋体"/>
          <w:b/>
          <w:bCs/>
          <w:color w:val="000000"/>
          <w:kern w:val="0"/>
          <w:sz w:val="28"/>
          <w:szCs w:val="28"/>
          <w:lang w:bidi="ar"/>
        </w:rPr>
        <w:t>四、学校专业建设情况分析</w:t>
      </w:r>
      <w:bookmarkEnd w:id="12"/>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outlineLvl w:val="1"/>
        <w:rPr>
          <w:rFonts w:hint="eastAsia" w:asciiTheme="minorEastAsia" w:hAnsiTheme="minorEastAsia" w:eastAsiaTheme="minorEastAsia" w:cstheme="minorEastAsia"/>
          <w:b/>
          <w:bCs/>
          <w:kern w:val="0"/>
          <w:sz w:val="28"/>
          <w:szCs w:val="28"/>
          <w:lang w:bidi="ar"/>
        </w:rPr>
      </w:pPr>
      <w:bookmarkStart w:id="13" w:name="_Toc8445"/>
      <w:r>
        <w:rPr>
          <w:rFonts w:hint="eastAsia" w:asciiTheme="minorEastAsia" w:hAnsiTheme="minorEastAsia" w:eastAsiaTheme="minorEastAsia" w:cstheme="minorEastAsia"/>
          <w:b/>
          <w:bCs/>
          <w:color w:val="000000"/>
          <w:kern w:val="0"/>
          <w:sz w:val="28"/>
          <w:szCs w:val="28"/>
          <w:lang w:bidi="ar"/>
        </w:rPr>
        <w:t>（一）</w:t>
      </w:r>
      <w:r>
        <w:rPr>
          <w:rFonts w:hint="eastAsia" w:asciiTheme="minorEastAsia" w:hAnsiTheme="minorEastAsia" w:eastAsiaTheme="minorEastAsia" w:cstheme="minorEastAsia"/>
          <w:b/>
          <w:bCs/>
          <w:color w:val="000000"/>
          <w:kern w:val="0"/>
          <w:sz w:val="28"/>
          <w:szCs w:val="28"/>
          <w:lang w:eastAsia="zh-CN" w:bidi="ar"/>
        </w:rPr>
        <w:t>基于</w:t>
      </w:r>
      <w:r>
        <w:rPr>
          <w:rFonts w:hint="eastAsia" w:asciiTheme="minorEastAsia" w:hAnsiTheme="minorEastAsia" w:eastAsiaTheme="minorEastAsia" w:cstheme="minorEastAsia"/>
          <w:b/>
          <w:bCs/>
          <w:color w:val="000000"/>
          <w:kern w:val="0"/>
          <w:sz w:val="28"/>
          <w:szCs w:val="28"/>
          <w:lang w:bidi="ar"/>
        </w:rPr>
        <w:t>诊改</w:t>
      </w:r>
      <w:r>
        <w:rPr>
          <w:rFonts w:hint="eastAsia" w:asciiTheme="minorEastAsia" w:hAnsiTheme="minorEastAsia" w:eastAsiaTheme="minorEastAsia" w:cstheme="minorEastAsia"/>
          <w:b/>
          <w:bCs/>
          <w:color w:val="000000"/>
          <w:kern w:val="0"/>
          <w:sz w:val="28"/>
          <w:szCs w:val="28"/>
          <w:lang w:eastAsia="zh-CN" w:bidi="ar"/>
        </w:rPr>
        <w:t>的</w:t>
      </w:r>
      <w:r>
        <w:rPr>
          <w:rFonts w:hint="eastAsia" w:asciiTheme="minorEastAsia" w:hAnsiTheme="minorEastAsia" w:eastAsiaTheme="minorEastAsia" w:cstheme="minorEastAsia"/>
          <w:b/>
          <w:bCs/>
          <w:color w:val="000000"/>
          <w:kern w:val="0"/>
          <w:sz w:val="28"/>
          <w:szCs w:val="28"/>
          <w:lang w:bidi="ar"/>
        </w:rPr>
        <w:t>质量保证体系</w:t>
      </w:r>
      <w:bookmarkEnd w:id="13"/>
      <w:r>
        <w:rPr>
          <w:rFonts w:hint="eastAsia" w:asciiTheme="minorEastAsia" w:hAnsiTheme="minorEastAsia" w:eastAsiaTheme="minorEastAsia" w:cstheme="minorEastAsia"/>
          <w:color w:val="000000"/>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通过诊改促进学校发展目标的实现。学校成立了诊改工作领导小组，对学校“十三五”事业发展规划和专业、课程、师资队伍、学生发展等9个专项规划进行了修订完善，初步建立了学校总体目标与年度目标任务分解、实施、诊断、改进的运行机制。将诊改工作和“追赶超越”、“高职创新发展行动计划”、“一流专业建设”等重点工作相结合，全员参与、统筹推进、有效实施，促进了学校发展目标的实现。</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立了学校的“质保”体系。学校建立了以“55821”为架构的内部质量保证体系，优化了五纵系统职能，规范了五横层面运作，明确了质量责任主体。根据学校“十三五”事业发展规划，细化了专项规划，制定了教学院(部)专业建设规划、师资队伍建设规划和课程建设规划；学校发展目标能够贯穿至专业、课程、教师、学生等层面。</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形成了学校内部质量保证体系运行机制。以“两链”为起点，建立了学校、专业、课程、教师、学生五个层面的“8字形”质量改进螺旋，配套建立了各个层面的诊改运行制度，积极推进了诊改工作的实施。各层面明确了诊改周期，设置了质量控制点，部分实现了信息化监测，初步形成了内部质量保证体系运行机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学校构建了六校区一体化网络、云计算平台、网络安全等信息化基础环境，建成了信息校园综合平台，实现了部分数据源头采集，具备了学校、专业、课程、教师、学生多维度数据分析及监测预警等功能，为诊改常态化运行提供了数据支撑。</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Theme="minorEastAsia" w:hAnsiTheme="minorEastAsia" w:eastAsiaTheme="minorEastAsia" w:cstheme="minorEastAsia"/>
          <w:b w:val="0"/>
          <w:bCs/>
          <w:sz w:val="24"/>
          <w:szCs w:val="24"/>
          <w:lang w:eastAsia="zh-CN"/>
        </w:rPr>
      </w:pPr>
      <w:bookmarkStart w:id="14" w:name="_Toc32588"/>
      <w:r>
        <w:rPr>
          <w:rFonts w:hint="eastAsia" w:ascii="宋体" w:hAnsi="宋体" w:eastAsia="宋体" w:cs="宋体"/>
          <w:b/>
          <w:bCs/>
          <w:color w:val="000000"/>
          <w:kern w:val="0"/>
          <w:sz w:val="28"/>
          <w:szCs w:val="28"/>
          <w:lang w:bidi="ar"/>
        </w:rPr>
        <w:t>（二）专业人才培养模式改革</w:t>
      </w:r>
      <w:bookmarkEnd w:id="14"/>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专业建设思路。以立德树人为根本、以服务发展为宗旨、以促进就业为导向，以突出优势、树立品牌、丰富内涵、提升质量为基本原则，构建产教融合、规模均衡、结构合理、特色鲜明、优势明显的专业建设格局，以改善办学条件和师资队伍建设为支撑，以专业综合改革为抓手，优化人才培养方案，创新教学方法与手段，强化过程管理，实现高素质技术技能人才培养目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业建设目标。适应陕西经济社会发展需要，建成结构更为优化、特色更为鲜明的旅游酒店类、商贸流通类、财会金融类等现代服务业重点专业及专业群。以高等职业教育创新发展行动计划为契机，以“双主体”人才培养模式为引领，在专业综合改革、“一流专业”建设、教学团队建设、教学资源建设、教学研究与教学改革、实践教学体系建设、生产性实训基地建设等方面取得显著成效，内涵建设进一步深化，专业综合影响力和人才培养质量明显提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专业建设举措。按照优先重点建设专业、重点建设专业和持续建设专业三个专业建设层级，确立了国家骨干、省级一流及一流培育、校级一流及一流培育、校级现代学徒制试点、学校一般专业五类专业建设目标，各二级学院据此制定了专业建设规划，30个稳定招生专业在充分调研分析的基础上，制定了各自建设规划和具体建设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10个二级学院及其30个稳定招生专业分优先重点建设专业、重点建设专业和持续建设专业三个层级制定了专业建设规划和建设方案。</w:t>
      </w:r>
    </w:p>
    <w:p>
      <w:pPr>
        <w:widowControl/>
        <w:spacing w:line="360" w:lineRule="auto"/>
        <w:jc w:val="center"/>
        <w:outlineLvl w:val="1"/>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color w:val="000000"/>
          <w:kern w:val="0"/>
          <w:sz w:val="24"/>
          <w:szCs w:val="24"/>
          <w:lang w:val="en-US" w:eastAsia="zh-CN"/>
        </w:rPr>
        <w:t xml:space="preserve"> </w:t>
      </w:r>
      <w:bookmarkStart w:id="15" w:name="_Toc29261"/>
      <w:bookmarkStart w:id="16" w:name="_Toc17777"/>
      <w:r>
        <w:rPr>
          <w:rFonts w:hint="eastAsia" w:asciiTheme="minorEastAsia" w:hAnsiTheme="minorEastAsia" w:eastAsiaTheme="minorEastAsia" w:cstheme="minorEastAsia"/>
          <w:b/>
          <w:bCs/>
          <w:color w:val="000000"/>
          <w:kern w:val="0"/>
          <w:sz w:val="24"/>
          <w:szCs w:val="24"/>
          <w:lang w:val="en-US" w:eastAsia="zh-CN"/>
        </w:rPr>
        <w:t>附表3    陕西工商职业学院</w:t>
      </w:r>
      <w:r>
        <w:rPr>
          <w:rFonts w:hint="eastAsia" w:asciiTheme="minorEastAsia" w:hAnsiTheme="minorEastAsia" w:eastAsiaTheme="minorEastAsia" w:cstheme="minorEastAsia"/>
          <w:b/>
          <w:bCs/>
          <w:color w:val="000000"/>
          <w:kern w:val="0"/>
          <w:sz w:val="24"/>
          <w:szCs w:val="24"/>
        </w:rPr>
        <w:t>专业分层发展一览表</w:t>
      </w:r>
      <w:bookmarkEnd w:id="15"/>
      <w:bookmarkEnd w:id="16"/>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58"/>
        <w:gridCol w:w="245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序号</w:t>
            </w:r>
          </w:p>
        </w:tc>
        <w:tc>
          <w:tcPr>
            <w:tcW w:w="2258"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专业建设层级</w:t>
            </w:r>
          </w:p>
        </w:tc>
        <w:tc>
          <w:tcPr>
            <w:tcW w:w="2451"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专业名称</w:t>
            </w:r>
          </w:p>
        </w:tc>
        <w:tc>
          <w:tcPr>
            <w:tcW w:w="2907"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专业建设类别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优先重点建设专业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酒店管理</w:t>
            </w:r>
          </w:p>
        </w:tc>
        <w:tc>
          <w:tcPr>
            <w:tcW w:w="2907" w:type="dxa"/>
            <w:vMerge w:val="restart"/>
            <w:noWrap w:val="0"/>
            <w:vAlign w:val="center"/>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国家骨干专业</w:t>
            </w:r>
          </w:p>
          <w:p>
            <w:pPr>
              <w:jc w:val="center"/>
              <w:rPr>
                <w:rFonts w:hint="eastAsia"/>
                <w:sz w:val="18"/>
                <w:szCs w:val="18"/>
                <w:vertAlign w:val="baseline"/>
                <w:lang w:val="en-US" w:eastAsia="zh-CN"/>
              </w:rPr>
            </w:pPr>
            <w:r>
              <w:rPr>
                <w:rFonts w:hint="eastAsia"/>
                <w:sz w:val="18"/>
                <w:szCs w:val="18"/>
                <w:vertAlign w:val="baseline"/>
                <w:lang w:val="en-US" w:eastAsia="zh-CN"/>
              </w:rPr>
              <w:t>省级一流专业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优先重点建设专业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物流管理</w:t>
            </w:r>
          </w:p>
        </w:tc>
        <w:tc>
          <w:tcPr>
            <w:tcW w:w="2907" w:type="dxa"/>
            <w:vMerge w:val="continue"/>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优先重点建设专业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会计</w:t>
            </w:r>
          </w:p>
        </w:tc>
        <w:tc>
          <w:tcPr>
            <w:tcW w:w="2907" w:type="dxa"/>
            <w:vMerge w:val="continue"/>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优先重点建设专业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人力资源管理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省级一流培育专业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优先重点建设专业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工程造价</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省级一流培育专业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电子商务</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财务管理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金融管理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汽车检测与维修技术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10</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市场营销</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11</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建筑工程技术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12</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物业管理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13</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旅游管理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14</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空中乘务</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计算机应用技术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校级一流培育专业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16</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信息安全与管理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校级现代学徒制试点专业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17</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报关与国际货运</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校级现代学徒制试点专业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18</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建筑装饰工程技术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校级现代学徒制试点专业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19</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工业机器人技术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校级现代学徒制试点专业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20</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重点建设专业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学前教育</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21</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旅游英语</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22</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建筑设备工程技术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23</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会展策划与管理</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24</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移动通信技术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大数据技术与应用</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26</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广播影视节目制作</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27</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广告设计与制作</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28</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舞台艺术设计与制作</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29</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烹调工艺与营养</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30</w:t>
            </w:r>
          </w:p>
        </w:tc>
        <w:tc>
          <w:tcPr>
            <w:tcW w:w="225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持续建设专业</w:t>
            </w:r>
          </w:p>
        </w:tc>
        <w:tc>
          <w:tcPr>
            <w:tcW w:w="245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机电一体化技术</w:t>
            </w:r>
          </w:p>
        </w:tc>
        <w:tc>
          <w:tcPr>
            <w:tcW w:w="290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学校一般专业</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4.建设成效。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（1）专业设置进一步优化。2019年新增专业9个，撤销专业5个，制定了专业建设标准，对现有专业分层进行规划和建设，3个专业被确定为国家骨干专业。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（2）人才培养方案体例更加合理。严格按照教育部发布的人才培养方案修订指导意见和各专业教学标准，修订了2019级全部43个专业的人才培养方案。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（3）教学运行过程管理更加规范。通过视频监控、安装手机袋、教学巡视等手段经常性监控教学过程，课堂教学质量得到有效保证，教学参与人员质量意识普遍提升。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（4）精品在线开放课程建设取得突破。建成校级精品在线开放课程17门并投入使用，5门获批2019年省级精品在线开放课程，位居全省高职院校第二。</w:t>
      </w:r>
    </w:p>
    <w:p>
      <w:pPr>
        <w:pStyle w:val="2"/>
        <w:numPr>
          <w:ilvl w:val="0"/>
          <w:numId w:val="0"/>
        </w:numPr>
        <w:jc w:val="center"/>
        <w:outlineLvl w:val="1"/>
        <w:rPr>
          <w:rFonts w:hint="eastAsia" w:asciiTheme="minorEastAsia" w:hAnsiTheme="minorEastAsia" w:eastAsiaTheme="minorEastAsia" w:cstheme="minorEastAsia"/>
          <w:b/>
          <w:bCs/>
          <w:color w:val="auto"/>
          <w:sz w:val="24"/>
          <w:szCs w:val="24"/>
          <w:lang w:val="en-US" w:eastAsia="zh-CN"/>
        </w:rPr>
      </w:pPr>
      <w:bookmarkStart w:id="17" w:name="_Toc14827"/>
      <w:bookmarkStart w:id="18" w:name="_Toc6703"/>
      <w:r>
        <w:rPr>
          <w:rFonts w:hint="eastAsia" w:asciiTheme="minorEastAsia" w:hAnsiTheme="minorEastAsia" w:eastAsiaTheme="minorEastAsia" w:cstheme="minorEastAsia"/>
          <w:b/>
          <w:bCs/>
          <w:color w:val="000000"/>
          <w:kern w:val="0"/>
          <w:sz w:val="24"/>
          <w:szCs w:val="24"/>
          <w:lang w:val="en-US" w:eastAsia="zh-CN" w:bidi="ar"/>
        </w:rPr>
        <w:t xml:space="preserve">附表4   </w:t>
      </w:r>
      <w:r>
        <w:rPr>
          <w:rFonts w:hint="eastAsia" w:asciiTheme="minorEastAsia" w:hAnsiTheme="minorEastAsia" w:eastAsiaTheme="minorEastAsia" w:cstheme="minorEastAsia"/>
          <w:b/>
          <w:bCs/>
          <w:color w:val="auto"/>
          <w:sz w:val="24"/>
          <w:szCs w:val="24"/>
          <w:lang w:val="en-US" w:eastAsia="zh-CN"/>
        </w:rPr>
        <w:t>陕西工商职业学院获批2019年校级精品在线开放课程</w:t>
      </w:r>
      <w:bookmarkEnd w:id="17"/>
      <w:bookmarkEnd w:id="1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4712"/>
        <w:gridCol w:w="163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序号</w:t>
            </w:r>
          </w:p>
        </w:tc>
        <w:tc>
          <w:tcPr>
            <w:tcW w:w="4712"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课程名称</w:t>
            </w:r>
          </w:p>
        </w:tc>
        <w:tc>
          <w:tcPr>
            <w:tcW w:w="1638"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课程负责人</w:t>
            </w:r>
          </w:p>
        </w:tc>
        <w:tc>
          <w:tcPr>
            <w:tcW w:w="1217"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好好说话一一言语沟通与人际交往</w:t>
            </w:r>
          </w:p>
        </w:tc>
        <w:tc>
          <w:tcPr>
            <w:tcW w:w="1638"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 xml:space="preserve">     刘丽彬</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计算机应用基础</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宋  凯</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3</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毛泽东思想和中国特色社会主义理论体系概论</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李冬俐</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4</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美的必修课——大学生自我形象设计</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袁  丽</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5</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市场营销学</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付  琪</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财务管理</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赵秋兰</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走进营销之旅</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李卓娅</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8</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面对面学管理</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刘  捷</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9</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物流设施与设备</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  梅</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线性代数</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  斌</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11</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高等数学与MATLAB启蒙</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封京梅</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12</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物流基础</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王友青</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13</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资产评估学</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张  华</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14</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纳税实务</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冯小查</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15</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仓储与配送管理</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窦  欣</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16</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旅游学概论</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李恩菊</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jc w:val="center"/>
              <w:rPr>
                <w:rFonts w:hint="default"/>
                <w:sz w:val="18"/>
                <w:szCs w:val="18"/>
                <w:vertAlign w:val="baseline"/>
                <w:lang w:val="en-US" w:eastAsia="zh-CN"/>
              </w:rPr>
            </w:pPr>
            <w:r>
              <w:rPr>
                <w:rFonts w:hint="eastAsia"/>
                <w:sz w:val="18"/>
                <w:szCs w:val="18"/>
                <w:vertAlign w:val="baseline"/>
                <w:lang w:val="en-US" w:eastAsia="zh-CN"/>
              </w:rPr>
              <w:t>17</w:t>
            </w:r>
          </w:p>
        </w:tc>
        <w:tc>
          <w:tcPr>
            <w:tcW w:w="47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轻松学好统计学</w:t>
            </w:r>
          </w:p>
        </w:tc>
        <w:tc>
          <w:tcPr>
            <w:tcW w:w="1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屈晓娟</w:t>
            </w:r>
          </w:p>
        </w:tc>
        <w:tc>
          <w:tcPr>
            <w:tcW w:w="12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bl>
    <w:p>
      <w:pPr>
        <w:pStyle w:val="2"/>
        <w:numPr>
          <w:ilvl w:val="0"/>
          <w:numId w:val="0"/>
        </w:numPr>
        <w:jc w:val="center"/>
        <w:rPr>
          <w:rFonts w:hint="eastAsia" w:asciiTheme="minorEastAsia" w:hAnsiTheme="minorEastAsia" w:eastAsiaTheme="minorEastAsia" w:cstheme="minorEastAsia"/>
          <w:b/>
          <w:bCs/>
          <w:color w:val="auto"/>
          <w:sz w:val="24"/>
          <w:szCs w:val="24"/>
          <w:lang w:val="en-US" w:eastAsia="zh-CN"/>
        </w:rPr>
      </w:pPr>
    </w:p>
    <w:p>
      <w:pPr>
        <w:pStyle w:val="2"/>
        <w:numPr>
          <w:ilvl w:val="0"/>
          <w:numId w:val="0"/>
        </w:numPr>
        <w:jc w:val="center"/>
        <w:outlineLvl w:val="1"/>
        <w:rPr>
          <w:rFonts w:hint="eastAsia"/>
          <w:b/>
          <w:bCs/>
          <w:lang w:val="en-US" w:eastAsia="zh-CN"/>
        </w:rPr>
      </w:pPr>
      <w:bookmarkStart w:id="19" w:name="_Toc3634"/>
      <w:bookmarkStart w:id="20" w:name="_Toc25057"/>
      <w:r>
        <w:rPr>
          <w:rFonts w:hint="eastAsia" w:asciiTheme="minorEastAsia" w:hAnsiTheme="minorEastAsia" w:eastAsiaTheme="minorEastAsia" w:cstheme="minorEastAsia"/>
          <w:b/>
          <w:bCs/>
          <w:color w:val="000000"/>
          <w:kern w:val="0"/>
          <w:sz w:val="24"/>
          <w:szCs w:val="24"/>
          <w:lang w:val="en-US" w:eastAsia="zh-CN" w:bidi="ar"/>
        </w:rPr>
        <w:t xml:space="preserve">附表5  </w:t>
      </w:r>
      <w:r>
        <w:rPr>
          <w:rFonts w:hint="eastAsia" w:asciiTheme="minorEastAsia" w:hAnsiTheme="minorEastAsia" w:eastAsiaTheme="minorEastAsia" w:cstheme="minorEastAsia"/>
          <w:b/>
          <w:bCs/>
          <w:color w:val="auto"/>
          <w:sz w:val="24"/>
          <w:szCs w:val="24"/>
          <w:lang w:val="en-US" w:eastAsia="zh-CN"/>
        </w:rPr>
        <w:t>陕西工商职业学院2019年省级精品在线开放课程</w:t>
      </w:r>
      <w:bookmarkEnd w:id="19"/>
      <w:bookmarkEnd w:id="20"/>
    </w:p>
    <w:tbl>
      <w:tblPr>
        <w:tblStyle w:val="1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913"/>
        <w:gridCol w:w="163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序号</w:t>
            </w:r>
          </w:p>
        </w:tc>
        <w:tc>
          <w:tcPr>
            <w:tcW w:w="4913"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课程名称</w:t>
            </w:r>
          </w:p>
        </w:tc>
        <w:tc>
          <w:tcPr>
            <w:tcW w:w="1637"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课程负责人</w:t>
            </w:r>
          </w:p>
        </w:tc>
        <w:tc>
          <w:tcPr>
            <w:tcW w:w="1229"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4913" w:type="dxa"/>
          </w:tcPr>
          <w:p>
            <w:pPr>
              <w:jc w:val="center"/>
              <w:rPr>
                <w:rFonts w:hint="eastAsia"/>
                <w:sz w:val="18"/>
                <w:szCs w:val="18"/>
                <w:vertAlign w:val="baseline"/>
                <w:lang w:val="en-US" w:eastAsia="zh-CN"/>
              </w:rPr>
            </w:pPr>
            <w:r>
              <w:rPr>
                <w:rFonts w:hint="eastAsia"/>
                <w:sz w:val="18"/>
                <w:szCs w:val="18"/>
                <w:vertAlign w:val="baseline"/>
                <w:lang w:val="en-US" w:eastAsia="zh-CN"/>
              </w:rPr>
              <w:t>“好好说话——言语交际与人际沟通”</w:t>
            </w:r>
          </w:p>
        </w:tc>
        <w:tc>
          <w:tcPr>
            <w:tcW w:w="163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刘丽彬</w:t>
            </w:r>
          </w:p>
        </w:tc>
        <w:tc>
          <w:tcPr>
            <w:tcW w:w="1229"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4913" w:type="dxa"/>
          </w:tcPr>
          <w:p>
            <w:pPr>
              <w:jc w:val="center"/>
              <w:rPr>
                <w:rFonts w:hint="default"/>
                <w:sz w:val="18"/>
                <w:szCs w:val="18"/>
                <w:vertAlign w:val="baseline"/>
                <w:lang w:val="en-US" w:eastAsia="zh-CN"/>
              </w:rPr>
            </w:pPr>
            <w:r>
              <w:rPr>
                <w:rFonts w:hint="eastAsia"/>
                <w:sz w:val="18"/>
                <w:szCs w:val="18"/>
                <w:vertAlign w:val="baseline"/>
                <w:lang w:val="en-US" w:eastAsia="zh-CN"/>
              </w:rPr>
              <w:t>“计算机应用基础”</w:t>
            </w:r>
          </w:p>
        </w:tc>
        <w:tc>
          <w:tcPr>
            <w:tcW w:w="163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宋  凯</w:t>
            </w:r>
          </w:p>
        </w:tc>
        <w:tc>
          <w:tcPr>
            <w:tcW w:w="1229"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sz w:val="18"/>
                <w:szCs w:val="18"/>
                <w:vertAlign w:val="baseline"/>
                <w:lang w:val="en-US" w:eastAsia="zh-CN"/>
              </w:rPr>
            </w:pPr>
            <w:r>
              <w:rPr>
                <w:rFonts w:hint="eastAsia"/>
                <w:sz w:val="18"/>
                <w:szCs w:val="18"/>
                <w:vertAlign w:val="baseline"/>
                <w:lang w:val="en-US" w:eastAsia="zh-CN"/>
              </w:rPr>
              <w:t>3</w:t>
            </w:r>
          </w:p>
        </w:tc>
        <w:tc>
          <w:tcPr>
            <w:tcW w:w="4913" w:type="dxa"/>
          </w:tcPr>
          <w:p>
            <w:pPr>
              <w:jc w:val="center"/>
              <w:rPr>
                <w:rFonts w:hint="eastAsia"/>
                <w:sz w:val="18"/>
                <w:szCs w:val="18"/>
                <w:vertAlign w:val="baseline"/>
                <w:lang w:val="en-US" w:eastAsia="zh-CN"/>
              </w:rPr>
            </w:pPr>
            <w:r>
              <w:rPr>
                <w:rFonts w:hint="eastAsia"/>
                <w:sz w:val="18"/>
                <w:szCs w:val="18"/>
                <w:vertAlign w:val="baseline"/>
                <w:lang w:val="en-US" w:eastAsia="zh-CN"/>
              </w:rPr>
              <w:t>“美的必修课——大学生自我形象设计”</w:t>
            </w:r>
          </w:p>
        </w:tc>
        <w:tc>
          <w:tcPr>
            <w:tcW w:w="163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袁  丽</w:t>
            </w:r>
          </w:p>
        </w:tc>
        <w:tc>
          <w:tcPr>
            <w:tcW w:w="1229"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sz w:val="18"/>
                <w:szCs w:val="18"/>
                <w:vertAlign w:val="baseline"/>
                <w:lang w:val="en-US" w:eastAsia="zh-CN"/>
              </w:rPr>
            </w:pPr>
            <w:r>
              <w:rPr>
                <w:rFonts w:hint="eastAsia"/>
                <w:sz w:val="18"/>
                <w:szCs w:val="18"/>
                <w:vertAlign w:val="baseline"/>
                <w:lang w:val="en-US" w:eastAsia="zh-CN"/>
              </w:rPr>
              <w:t>4</w:t>
            </w:r>
          </w:p>
        </w:tc>
        <w:tc>
          <w:tcPr>
            <w:tcW w:w="4913" w:type="dxa"/>
          </w:tcPr>
          <w:p>
            <w:pPr>
              <w:jc w:val="center"/>
              <w:rPr>
                <w:rFonts w:hint="eastAsia"/>
                <w:sz w:val="18"/>
                <w:szCs w:val="18"/>
                <w:vertAlign w:val="baseline"/>
                <w:lang w:val="en-US" w:eastAsia="zh-CN"/>
              </w:rPr>
            </w:pPr>
            <w:r>
              <w:rPr>
                <w:rFonts w:hint="eastAsia"/>
                <w:sz w:val="18"/>
                <w:szCs w:val="18"/>
                <w:vertAlign w:val="baseline"/>
                <w:lang w:val="en-US" w:eastAsia="zh-CN"/>
              </w:rPr>
              <w:t>“高等数学与MATLAB启蒙”</w:t>
            </w:r>
          </w:p>
        </w:tc>
        <w:tc>
          <w:tcPr>
            <w:tcW w:w="163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封京梅</w:t>
            </w:r>
          </w:p>
        </w:tc>
        <w:tc>
          <w:tcPr>
            <w:tcW w:w="1229"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Pr>
          <w:p>
            <w:pPr>
              <w:jc w:val="center"/>
              <w:rPr>
                <w:rFonts w:hint="default"/>
                <w:sz w:val="18"/>
                <w:szCs w:val="18"/>
                <w:vertAlign w:val="baseline"/>
                <w:lang w:val="en-US" w:eastAsia="zh-CN"/>
              </w:rPr>
            </w:pPr>
            <w:r>
              <w:rPr>
                <w:rFonts w:hint="eastAsia"/>
                <w:sz w:val="18"/>
                <w:szCs w:val="18"/>
                <w:vertAlign w:val="baseline"/>
                <w:lang w:val="en-US" w:eastAsia="zh-CN"/>
              </w:rPr>
              <w:t>5</w:t>
            </w:r>
          </w:p>
        </w:tc>
        <w:tc>
          <w:tcPr>
            <w:tcW w:w="4913" w:type="dxa"/>
          </w:tcPr>
          <w:p>
            <w:pPr>
              <w:jc w:val="center"/>
              <w:rPr>
                <w:rFonts w:hint="eastAsia"/>
                <w:sz w:val="18"/>
                <w:szCs w:val="18"/>
                <w:vertAlign w:val="baseline"/>
                <w:lang w:val="en-US" w:eastAsia="zh-CN"/>
              </w:rPr>
            </w:pPr>
            <w:r>
              <w:rPr>
                <w:rFonts w:hint="eastAsia"/>
                <w:sz w:val="18"/>
                <w:szCs w:val="18"/>
                <w:vertAlign w:val="baseline"/>
                <w:lang w:val="en-US" w:eastAsia="zh-CN"/>
              </w:rPr>
              <w:t>“仓储与配送管理”</w:t>
            </w:r>
          </w:p>
        </w:tc>
        <w:tc>
          <w:tcPr>
            <w:tcW w:w="163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窦  欣</w:t>
            </w:r>
          </w:p>
        </w:tc>
        <w:tc>
          <w:tcPr>
            <w:tcW w:w="1229"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智慧树</w:t>
            </w:r>
          </w:p>
        </w:tc>
      </w:tr>
    </w:tbl>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（5）实训条件建设取得较大进展。建成国内领先、全省一流的财会综合实训中心，改扩建酒店管理综合实训中心，新增签约合作企业54个，有较大幅度增长。</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仿宋_GB2312" w:hAnsi="仿宋_GB2312" w:eastAsia="仿宋_GB2312" w:cs="仿宋_GB2312"/>
          <w:sz w:val="28"/>
          <w:szCs w:val="28"/>
          <w:lang w:val="en-US" w:eastAsia="zh-CN"/>
        </w:rPr>
        <w:t>（6）职业技能竞赛进步明显。在2018年承办省赛1个赛项基础上，2019年增加到2项。学校共获得一等奖5项，二等奖6项，三等奖14项，总计25项奖励较2018年省赛的18项有较大幅度提升，连续两年全省排名第12名。</w:t>
      </w: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bookmarkStart w:id="21" w:name="_Toc2946"/>
      <w:bookmarkStart w:id="22" w:name="_Toc20645"/>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p>
    <w:p>
      <w:pPr>
        <w:pStyle w:val="2"/>
        <w:ind w:left="0" w:leftChars="0" w:firstLine="0" w:firstLineChars="0"/>
        <w:jc w:val="center"/>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附表6   2019年陕西省技能竞赛各学校比赛汇总</w:t>
      </w:r>
      <w:bookmarkEnd w:id="21"/>
      <w:bookmarkEnd w:id="22"/>
    </w:p>
    <w:p>
      <w:pPr>
        <w:pStyle w:val="2"/>
        <w:rPr>
          <w:rFonts w:hint="eastAsia" w:eastAsia="宋体"/>
          <w:lang w:eastAsia="zh-CN"/>
        </w:rPr>
      </w:pPr>
      <w:r>
        <w:rPr>
          <w:rFonts w:hint="eastAsia" w:eastAsia="宋体"/>
          <w:lang w:eastAsia="zh-CN"/>
        </w:rPr>
        <w:drawing>
          <wp:inline distT="0" distB="0" distL="114300" distR="114300">
            <wp:extent cx="4223385" cy="3549015"/>
            <wp:effectExtent l="0" t="0" r="5715" b="13335"/>
            <wp:docPr id="22" name="图片 2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1"/>
                    <pic:cNvPicPr>
                      <a:picLocks noChangeAspect="1"/>
                    </pic:cNvPicPr>
                  </pic:nvPicPr>
                  <pic:blipFill>
                    <a:blip r:embed="rId8"/>
                    <a:stretch>
                      <a:fillRect/>
                    </a:stretch>
                  </pic:blipFill>
                  <pic:spPr>
                    <a:xfrm>
                      <a:off x="0" y="0"/>
                      <a:ext cx="4223385" cy="35490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就业创业工作形成特色。学校根据现代服务业类职业教育的规律和特点，探索并初步形成了“以创业带动高质量就业，以就业促进专业建设和教学改革”的就业创业工作模式，2018年12月获批陕西省示范性高等学校就业创业指导服务机构。2019年“互联网+”双创省赛获奖9项，并获职教赛道“高校集体奖”，实现重大突破。</w:t>
      </w:r>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outlineLvl w:val="1"/>
        <w:rPr>
          <w:rFonts w:hint="eastAsia" w:asciiTheme="minorEastAsia" w:hAnsiTheme="minorEastAsia" w:eastAsiaTheme="minorEastAsia" w:cstheme="minorEastAsia"/>
          <w:b/>
          <w:bCs/>
          <w:sz w:val="28"/>
          <w:szCs w:val="28"/>
        </w:rPr>
      </w:pPr>
      <w:bookmarkStart w:id="23" w:name="_Toc4162"/>
      <w:r>
        <w:rPr>
          <w:rFonts w:hint="eastAsia" w:asciiTheme="minorEastAsia" w:hAnsiTheme="minorEastAsia" w:eastAsiaTheme="minorEastAsia" w:cstheme="minorEastAsia"/>
          <w:b/>
          <w:bCs/>
          <w:color w:val="000000"/>
          <w:kern w:val="0"/>
          <w:sz w:val="28"/>
          <w:szCs w:val="28"/>
          <w:lang w:bidi="ar"/>
        </w:rPr>
        <w:t>（三）</w:t>
      </w:r>
      <w:r>
        <w:rPr>
          <w:rFonts w:hint="eastAsia" w:asciiTheme="minorEastAsia" w:hAnsiTheme="minorEastAsia" w:eastAsiaTheme="minorEastAsia" w:cstheme="minorEastAsia"/>
          <w:b/>
          <w:bCs/>
          <w:color w:val="000000"/>
          <w:kern w:val="0"/>
          <w:sz w:val="28"/>
          <w:szCs w:val="28"/>
          <w:lang w:eastAsia="zh-CN" w:bidi="ar"/>
        </w:rPr>
        <w:t>课程与</w:t>
      </w:r>
      <w:r>
        <w:rPr>
          <w:rFonts w:hint="eastAsia" w:asciiTheme="minorEastAsia" w:hAnsiTheme="minorEastAsia" w:eastAsiaTheme="minorEastAsia" w:cstheme="minorEastAsia"/>
          <w:b/>
          <w:bCs/>
          <w:color w:val="000000"/>
          <w:kern w:val="0"/>
          <w:sz w:val="28"/>
          <w:szCs w:val="28"/>
          <w:lang w:bidi="ar"/>
        </w:rPr>
        <w:t>课程体系</w:t>
      </w:r>
      <w:r>
        <w:rPr>
          <w:rFonts w:hint="eastAsia" w:asciiTheme="minorEastAsia" w:hAnsiTheme="minorEastAsia" w:eastAsiaTheme="minorEastAsia" w:cstheme="minorEastAsia"/>
          <w:b/>
          <w:bCs/>
          <w:color w:val="000000"/>
          <w:kern w:val="0"/>
          <w:sz w:val="28"/>
          <w:szCs w:val="28"/>
          <w:lang w:eastAsia="zh-CN" w:bidi="ar"/>
        </w:rPr>
        <w:t>的</w:t>
      </w:r>
      <w:r>
        <w:rPr>
          <w:rFonts w:hint="eastAsia" w:asciiTheme="minorEastAsia" w:hAnsiTheme="minorEastAsia" w:eastAsiaTheme="minorEastAsia" w:cstheme="minorEastAsia"/>
          <w:b/>
          <w:bCs/>
          <w:color w:val="000000"/>
          <w:kern w:val="0"/>
          <w:sz w:val="28"/>
          <w:szCs w:val="28"/>
          <w:lang w:bidi="ar"/>
        </w:rPr>
        <w:t>建设</w:t>
      </w:r>
      <w:bookmarkEnd w:id="2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课程与课程体系建设。根据教育部人才培养方案修订指导意见和学校实施文件，43个专业对照教育部发布的专业教学标准，全面修订了2019级人才培养方案，学校形成了由公共基础课、专业基础课、专业技能课和选修课组成的课程体系，其中选修课又分为专业选修课、限定选修课、公共选修课、普通选修课4类（见图1）。</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b w:val="0"/>
          <w:bCs/>
          <w:sz w:val="28"/>
          <w:szCs w:val="28"/>
          <w:lang w:val="en-US" w:eastAsia="zh-CN"/>
        </w:rPr>
      </w:pPr>
      <w:r>
        <w:drawing>
          <wp:inline distT="0" distB="0" distL="114300" distR="114300">
            <wp:extent cx="3551555" cy="2317115"/>
            <wp:effectExtent l="0" t="0" r="10795" b="698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a:stretch>
                      <a:fillRect/>
                    </a:stretch>
                  </pic:blipFill>
                  <pic:spPr>
                    <a:xfrm>
                      <a:off x="0" y="0"/>
                      <a:ext cx="3551555" cy="2317115"/>
                    </a:xfrm>
                    <a:prstGeom prst="rect">
                      <a:avLst/>
                    </a:prstGeom>
                    <a:noFill/>
                    <a:ln>
                      <a:noFill/>
                    </a:ln>
                  </pic:spPr>
                </pic:pic>
              </a:graphicData>
            </a:graphic>
          </wp:inline>
        </w:drawing>
      </w:r>
    </w:p>
    <w:p>
      <w:pPr>
        <w:widowControl/>
        <w:spacing w:line="360" w:lineRule="auto"/>
        <w:jc w:val="center"/>
        <w:rPr>
          <w:rFonts w:hint="eastAsia" w:asciiTheme="minorEastAsia" w:hAnsiTheme="minorEastAsia" w:eastAsiaTheme="minorEastAsia" w:cstheme="minorEastAsia"/>
          <w:b/>
          <w:bCs/>
          <w:color w:val="C00000"/>
          <w:kern w:val="0"/>
          <w:sz w:val="18"/>
          <w:szCs w:val="18"/>
          <w:lang w:eastAsia="zh-CN"/>
        </w:rPr>
      </w:pPr>
      <w:r>
        <w:rPr>
          <w:rFonts w:hint="eastAsia" w:asciiTheme="minorEastAsia" w:hAnsiTheme="minorEastAsia" w:eastAsiaTheme="minorEastAsia" w:cstheme="minorEastAsia"/>
          <w:b/>
          <w:bCs/>
          <w:color w:val="auto"/>
          <w:kern w:val="0"/>
          <w:sz w:val="18"/>
          <w:szCs w:val="18"/>
          <w:lang w:eastAsia="zh-CN"/>
        </w:rPr>
        <w:t>图</w:t>
      </w:r>
      <w:r>
        <w:rPr>
          <w:rFonts w:hint="eastAsia" w:asciiTheme="minorEastAsia" w:hAnsiTheme="minorEastAsia" w:eastAsiaTheme="minorEastAsia" w:cstheme="minorEastAsia"/>
          <w:b/>
          <w:bCs/>
          <w:color w:val="auto"/>
          <w:kern w:val="0"/>
          <w:sz w:val="18"/>
          <w:szCs w:val="18"/>
          <w:lang w:val="en-US" w:eastAsia="zh-CN"/>
        </w:rPr>
        <w:t>1      陕西工商职业学院</w:t>
      </w:r>
      <w:r>
        <w:rPr>
          <w:rFonts w:hint="eastAsia" w:asciiTheme="minorEastAsia" w:hAnsiTheme="minorEastAsia" w:eastAsiaTheme="minorEastAsia" w:cstheme="minorEastAsia"/>
          <w:b/>
          <w:bCs/>
          <w:color w:val="auto"/>
          <w:kern w:val="0"/>
          <w:sz w:val="18"/>
          <w:szCs w:val="18"/>
          <w:lang w:eastAsia="zh-CN"/>
        </w:rPr>
        <w:t>课程体系架构图</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狠抓课程建设，优化课程结构，加快课程改革，更新课程内容，吸收教学改革成果，共享优质课程资源，服务旅游酒店类、商贸流通类、财会金融类等现代服务业重点专业及专业群，促进学校人才培养水平的全面提升。学校目前开设课程1137门，其中A类课程133门，B类课程811门，C类课程193门，如图2所示。</w:t>
      </w:r>
    </w:p>
    <w:p>
      <w:pPr>
        <w:widowControl/>
        <w:spacing w:line="360" w:lineRule="auto"/>
        <w:jc w:val="center"/>
      </w:pPr>
      <w:r>
        <w:drawing>
          <wp:inline distT="0" distB="0" distL="114300" distR="114300">
            <wp:extent cx="3335020" cy="2037080"/>
            <wp:effectExtent l="0" t="0" r="17780" b="127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0"/>
                    <a:stretch>
                      <a:fillRect/>
                    </a:stretch>
                  </pic:blipFill>
                  <pic:spPr>
                    <a:xfrm>
                      <a:off x="0" y="0"/>
                      <a:ext cx="3335020" cy="2037080"/>
                    </a:xfrm>
                    <a:prstGeom prst="rect">
                      <a:avLst/>
                    </a:prstGeom>
                    <a:noFill/>
                    <a:ln>
                      <a:noFill/>
                    </a:ln>
                  </pic:spPr>
                </pic:pic>
              </a:graphicData>
            </a:graphic>
          </wp:inline>
        </w:drawing>
      </w:r>
    </w:p>
    <w:p>
      <w:pPr>
        <w:widowControl/>
        <w:spacing w:line="360" w:lineRule="auto"/>
        <w:jc w:val="center"/>
        <w:rPr>
          <w:rFonts w:hint="default" w:asciiTheme="minorEastAsia" w:hAnsiTheme="minorEastAsia" w:eastAsiaTheme="minorEastAsia" w:cstheme="minorEastAsia"/>
          <w:b/>
          <w:bCs/>
          <w:color w:val="auto"/>
          <w:kern w:val="0"/>
          <w:sz w:val="18"/>
          <w:szCs w:val="18"/>
          <w:lang w:val="en-US" w:eastAsia="zh-CN"/>
        </w:rPr>
      </w:pPr>
      <w:r>
        <w:rPr>
          <w:rFonts w:hint="eastAsia" w:asciiTheme="minorEastAsia" w:hAnsiTheme="minorEastAsia" w:eastAsiaTheme="minorEastAsia" w:cstheme="minorEastAsia"/>
          <w:b/>
          <w:bCs/>
          <w:color w:val="auto"/>
          <w:kern w:val="0"/>
          <w:sz w:val="18"/>
          <w:szCs w:val="18"/>
          <w:lang w:val="en-US" w:eastAsia="zh-CN"/>
        </w:rPr>
        <w:t>图2   陕西工商职业技术学院课程门数及百分比</w:t>
      </w:r>
    </w:p>
    <w:p>
      <w:pPr>
        <w:widowControl/>
        <w:spacing w:line="360" w:lineRule="auto"/>
        <w:ind w:firstLine="236" w:firstLineChars="98"/>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表12  2019 年学校课程体系与课程建设情况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1969"/>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noWrap w:val="0"/>
            <w:vAlign w:val="top"/>
          </w:tcPr>
          <w:p>
            <w:pPr>
              <w:widowControl/>
              <w:spacing w:line="360" w:lineRule="auto"/>
              <w:jc w:val="center"/>
              <w:rPr>
                <w:rFonts w:hint="eastAsia" w:ascii="宋体" w:hAnsi="宋体" w:cs="宋体"/>
              </w:rPr>
            </w:pPr>
            <w:r>
              <w:rPr>
                <w:rFonts w:hint="eastAsia" w:ascii="宋体" w:hAnsi="宋体" w:cs="宋体"/>
                <w:b/>
                <w:color w:val="000000"/>
                <w:kern w:val="0"/>
                <w:szCs w:val="21"/>
                <w:lang w:bidi="ar"/>
              </w:rPr>
              <w:t>指标名称</w:t>
            </w:r>
          </w:p>
        </w:tc>
        <w:tc>
          <w:tcPr>
            <w:tcW w:w="1969" w:type="dxa"/>
            <w:noWrap w:val="0"/>
            <w:vAlign w:val="top"/>
          </w:tcPr>
          <w:p>
            <w:pPr>
              <w:widowControl/>
              <w:spacing w:line="360" w:lineRule="auto"/>
              <w:jc w:val="center"/>
              <w:rPr>
                <w:rFonts w:hint="eastAsia" w:ascii="宋体" w:hAnsi="宋体" w:cs="宋体"/>
              </w:rPr>
            </w:pPr>
            <w:r>
              <w:rPr>
                <w:rFonts w:hint="eastAsia" w:ascii="宋体" w:hAnsi="宋体" w:cs="宋体"/>
                <w:b/>
                <w:color w:val="000000"/>
                <w:kern w:val="0"/>
                <w:szCs w:val="21"/>
                <w:lang w:bidi="ar"/>
              </w:rPr>
              <w:t>2017年指标值</w:t>
            </w:r>
          </w:p>
        </w:tc>
        <w:tc>
          <w:tcPr>
            <w:tcW w:w="2020" w:type="dxa"/>
            <w:noWrap w:val="0"/>
            <w:vAlign w:val="top"/>
          </w:tcPr>
          <w:p>
            <w:pPr>
              <w:widowControl/>
              <w:spacing w:line="360" w:lineRule="auto"/>
              <w:jc w:val="center"/>
              <w:rPr>
                <w:rFonts w:hint="eastAsia" w:ascii="宋体" w:hAnsi="宋体" w:cs="宋体"/>
              </w:rPr>
            </w:pPr>
            <w:r>
              <w:rPr>
                <w:rFonts w:hint="eastAsia" w:ascii="宋体" w:hAnsi="宋体" w:cs="宋体"/>
                <w:b/>
                <w:color w:val="000000"/>
                <w:kern w:val="0"/>
                <w:szCs w:val="21"/>
                <w:lang w:bidi="ar"/>
              </w:rPr>
              <w:t>2019年指标值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noWrap w:val="0"/>
            <w:vAlign w:val="top"/>
          </w:tcPr>
          <w:p>
            <w:pPr>
              <w:widowControl/>
              <w:spacing w:line="360" w:lineRule="auto"/>
              <w:jc w:val="left"/>
              <w:rPr>
                <w:rFonts w:hint="eastAsia" w:ascii="宋体" w:hAnsi="宋体" w:cs="宋体"/>
              </w:rPr>
            </w:pPr>
            <w:r>
              <w:rPr>
                <w:rFonts w:hint="eastAsia" w:ascii="宋体" w:hAnsi="宋体" w:cs="宋体"/>
                <w:color w:val="000000"/>
                <w:kern w:val="0"/>
                <w:szCs w:val="21"/>
                <w:lang w:bidi="ar"/>
              </w:rPr>
              <w:t xml:space="preserve">A 类课：B 类课：C 类课 </w:t>
            </w:r>
          </w:p>
        </w:tc>
        <w:tc>
          <w:tcPr>
            <w:tcW w:w="1969" w:type="dxa"/>
            <w:noWrap w:val="0"/>
            <w:vAlign w:val="top"/>
          </w:tcPr>
          <w:p>
            <w:pPr>
              <w:spacing w:line="360" w:lineRule="auto"/>
              <w:jc w:val="center"/>
              <w:rPr>
                <w:rFonts w:hint="eastAsia"/>
              </w:rPr>
            </w:pPr>
            <w:r>
              <w:rPr>
                <w:rFonts w:hint="eastAsia"/>
              </w:rPr>
              <w:t>1:3.26:0.68</w:t>
            </w:r>
          </w:p>
        </w:tc>
        <w:tc>
          <w:tcPr>
            <w:tcW w:w="2020" w:type="dxa"/>
            <w:noWrap w:val="0"/>
            <w:vAlign w:val="top"/>
          </w:tcPr>
          <w:p>
            <w:pPr>
              <w:spacing w:line="360" w:lineRule="auto"/>
              <w:jc w:val="center"/>
              <w:rPr>
                <w:rFonts w:hint="eastAsia"/>
              </w:rPr>
            </w:pPr>
            <w:r>
              <w:rPr>
                <w:rFonts w:hint="eastAsia"/>
              </w:rPr>
              <w:t>1:6.10:1.45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陕西省高等教育教学成果奖（项） </w:t>
            </w:r>
          </w:p>
        </w:tc>
        <w:tc>
          <w:tcPr>
            <w:tcW w:w="1969" w:type="dxa"/>
            <w:noWrap w:val="0"/>
            <w:vAlign w:val="top"/>
          </w:tcPr>
          <w:p>
            <w:pPr>
              <w:widowControl/>
              <w:spacing w:line="360" w:lineRule="auto"/>
              <w:jc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w:t>
            </w:r>
          </w:p>
        </w:tc>
        <w:tc>
          <w:tcPr>
            <w:tcW w:w="2020" w:type="dxa"/>
            <w:noWrap w:val="0"/>
            <w:vAlign w:val="top"/>
          </w:tcPr>
          <w:p>
            <w:pPr>
              <w:widowControl/>
              <w:spacing w:line="360" w:lineRule="auto"/>
              <w:jc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陕西省精品课（项） </w:t>
            </w:r>
          </w:p>
        </w:tc>
        <w:tc>
          <w:tcPr>
            <w:tcW w:w="1969" w:type="dxa"/>
            <w:noWrap w:val="0"/>
            <w:vAlign w:val="top"/>
          </w:tcPr>
          <w:p>
            <w:pPr>
              <w:widowControl/>
              <w:spacing w:line="360" w:lineRule="auto"/>
              <w:jc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w:t>
            </w:r>
          </w:p>
        </w:tc>
        <w:tc>
          <w:tcPr>
            <w:tcW w:w="2020" w:type="dxa"/>
            <w:noWrap w:val="0"/>
            <w:vAlign w:val="top"/>
          </w:tcPr>
          <w:p>
            <w:pPr>
              <w:widowControl/>
              <w:spacing w:line="360" w:lineRule="auto"/>
              <w:jc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w:t>
            </w:r>
          </w:p>
        </w:tc>
      </w:tr>
    </w:tbl>
    <w:p>
      <w:pPr>
        <w:widowControl/>
        <w:spacing w:line="360" w:lineRule="auto"/>
        <w:jc w:val="center"/>
        <w:rPr>
          <w:rFonts w:hint="eastAsia" w:ascii="宋体" w:hAnsi="宋体" w:cs="宋体"/>
          <w:b/>
          <w:color w:val="000000"/>
          <w:kern w:val="0"/>
          <w:sz w:val="24"/>
          <w:szCs w:val="24"/>
          <w:lang w:bidi="ar"/>
        </w:rPr>
      </w:pPr>
    </w:p>
    <w:p>
      <w:pPr>
        <w:widowControl/>
        <w:spacing w:line="360" w:lineRule="auto"/>
        <w:jc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表13  2019 年学校 ABC 类课程比与全国</w:t>
      </w:r>
      <w:r>
        <w:rPr>
          <w:rFonts w:hint="eastAsia" w:ascii="宋体" w:hAnsi="宋体" w:cs="宋体"/>
          <w:b/>
          <w:color w:val="000000"/>
          <w:kern w:val="0"/>
          <w:sz w:val="24"/>
          <w:szCs w:val="24"/>
          <w:lang w:eastAsia="zh-CN" w:bidi="ar"/>
        </w:rPr>
        <w:t>同</w:t>
      </w:r>
      <w:r>
        <w:rPr>
          <w:rFonts w:hint="eastAsia" w:ascii="宋体" w:hAnsi="宋体" w:cs="宋体"/>
          <w:b/>
          <w:color w:val="000000"/>
          <w:kern w:val="0"/>
          <w:sz w:val="24"/>
          <w:szCs w:val="24"/>
          <w:lang w:bidi="ar"/>
        </w:rPr>
        <w:t>类院校比较分析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4"/>
        <w:gridCol w:w="1544"/>
        <w:gridCol w:w="1403"/>
        <w:gridCol w:w="126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14" w:type="dxa"/>
            <w:noWrap w:val="0"/>
            <w:vAlign w:val="top"/>
          </w:tcPr>
          <w:p>
            <w:pPr>
              <w:widowControl/>
              <w:ind w:firstLine="1240" w:firstLineChars="588"/>
              <w:jc w:val="left"/>
              <w:rPr>
                <w:rFonts w:hint="eastAsia" w:ascii="宋体" w:hAnsi="宋体" w:cs="宋体"/>
                <w:b/>
                <w:color w:val="000000"/>
                <w:kern w:val="0"/>
                <w:szCs w:val="21"/>
                <w:lang w:bidi="ar"/>
              </w:rPr>
            </w:pPr>
            <w:r>
              <w:rPr>
                <w:rFonts w:hint="eastAsia" w:ascii="宋体" w:hAnsi="宋体" w:cs="宋体"/>
                <w:b/>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3175</wp:posOffset>
                      </wp:positionV>
                      <wp:extent cx="1837055" cy="389255"/>
                      <wp:effectExtent l="1270" t="4445" r="9525" b="6350"/>
                      <wp:wrapNone/>
                      <wp:docPr id="6" name="直接箭头连接符 6"/>
                      <wp:cNvGraphicFramePr/>
                      <a:graphic xmlns:a="http://schemas.openxmlformats.org/drawingml/2006/main">
                        <a:graphicData uri="http://schemas.microsoft.com/office/word/2010/wordprocessingShape">
                          <wps:wsp>
                            <wps:cNvCnPr/>
                            <wps:spPr>
                              <a:xfrm>
                                <a:off x="0" y="0"/>
                                <a:ext cx="1837055" cy="389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30.65pt;width:144.65pt;z-index:251662336;mso-width-relative:page;mso-height-relative:page;" filled="f" stroked="t" coordsize="21600,21600" o:gfxdata="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gjHMNUAAAAG&#10;AQAADwAAAAAAAAABACAAAAAiAAAAZHJzL2Rvd25yZXYueG1sUEsBAhQAFAAAAAgAh07iQHdOQ67m&#10;AQAAowMAAA4AAAAAAAAAAQAgAAAAJAEAAGRycy9lMm9Eb2MueG1sUEsFBgAAAAAGAAYAWQEAAHwF&#10;AAAAAA==&#10;">
                      <v:fill on="f" focussize="0,0"/>
                      <v:stroke color="#000000" joinstyle="round"/>
                      <v:imagedata o:title=""/>
                      <o:lock v:ext="edit" aspectratio="f"/>
                    </v:shape>
                  </w:pict>
                </mc:Fallback>
              </mc:AlternateContent>
            </w:r>
            <w:r>
              <w:rPr>
                <w:rFonts w:hint="eastAsia" w:ascii="宋体" w:hAnsi="宋体" w:cs="宋体"/>
                <w:b/>
                <w:color w:val="000000"/>
                <w:kern w:val="0"/>
                <w:szCs w:val="21"/>
                <w:lang w:bidi="ar"/>
              </w:rPr>
              <w:t>项目</w:t>
            </w:r>
          </w:p>
          <w:p>
            <w:pPr>
              <w:widowControl/>
              <w:jc w:val="left"/>
              <w:rPr>
                <w:rFonts w:hint="eastAsia" w:ascii="宋体" w:hAnsi="宋体" w:cs="宋体"/>
                <w:b/>
                <w:color w:val="000000"/>
                <w:kern w:val="0"/>
                <w:szCs w:val="21"/>
                <w:lang w:bidi="ar"/>
              </w:rPr>
            </w:pPr>
            <w:r>
              <w:rPr>
                <w:rFonts w:hint="eastAsia" w:ascii="宋体" w:hAnsi="宋体" w:cs="宋体"/>
                <w:b/>
                <w:color w:val="000000"/>
                <w:kern w:val="0"/>
                <w:szCs w:val="21"/>
                <w:lang w:bidi="ar"/>
              </w:rPr>
              <w:t>比较指标</w:t>
            </w:r>
          </w:p>
        </w:tc>
        <w:tc>
          <w:tcPr>
            <w:tcW w:w="1544" w:type="dxa"/>
            <w:noWrap w:val="0"/>
            <w:vAlign w:val="center"/>
          </w:tcPr>
          <w:p>
            <w:pPr>
              <w:widowControl/>
              <w:spacing w:line="360" w:lineRule="auto"/>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学校指标值</w:t>
            </w:r>
          </w:p>
        </w:tc>
        <w:tc>
          <w:tcPr>
            <w:tcW w:w="140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6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1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14" w:type="dxa"/>
            <w:noWrap w:val="0"/>
            <w:vAlign w:val="center"/>
          </w:tcPr>
          <w:p>
            <w:pPr>
              <w:widowControl/>
              <w:jc w:val="left"/>
              <w:rPr>
                <w:rFonts w:ascii="宋体" w:hAnsi="宋体" w:cs="宋体"/>
                <w:color w:val="000000"/>
                <w:kern w:val="0"/>
                <w:sz w:val="18"/>
                <w:szCs w:val="18"/>
                <w:lang w:bidi="ar"/>
              </w:rPr>
            </w:pPr>
            <w:r>
              <w:rPr>
                <w:rFonts w:hint="eastAsia" w:ascii="宋体" w:hAnsi="宋体" w:cs="宋体"/>
                <w:color w:val="000000"/>
                <w:kern w:val="0"/>
                <w:szCs w:val="21"/>
                <w:lang w:bidi="ar"/>
              </w:rPr>
              <w:t>A 类课:B 类课:C 类课</w:t>
            </w:r>
          </w:p>
        </w:tc>
        <w:tc>
          <w:tcPr>
            <w:tcW w:w="1544" w:type="dxa"/>
            <w:noWrap w:val="0"/>
            <w:vAlign w:val="top"/>
          </w:tcPr>
          <w:p>
            <w:pPr>
              <w:spacing w:line="360" w:lineRule="auto"/>
              <w:jc w:val="left"/>
              <w:rPr>
                <w:rFonts w:hint="eastAsia"/>
              </w:rPr>
            </w:pPr>
            <w:r>
              <w:rPr>
                <w:rFonts w:hint="eastAsia"/>
              </w:rPr>
              <w:t>1:6.10:1.45</w:t>
            </w:r>
          </w:p>
        </w:tc>
        <w:tc>
          <w:tcPr>
            <w:tcW w:w="1403" w:type="dxa"/>
            <w:noWrap w:val="0"/>
            <w:vAlign w:val="center"/>
          </w:tcPr>
          <w:p>
            <w:pPr>
              <w:widowControl/>
              <w:spacing w:line="360" w:lineRule="auto"/>
              <w:jc w:val="center"/>
              <w:rPr>
                <w:rFonts w:eastAsia="黑体"/>
                <w:kern w:val="0"/>
                <w:szCs w:val="21"/>
                <w:lang w:bidi="ar"/>
              </w:rPr>
            </w:pPr>
            <w:r>
              <w:rPr>
                <w:rFonts w:hint="eastAsia" w:eastAsia="黑体"/>
                <w:kern w:val="0"/>
                <w:szCs w:val="21"/>
                <w:lang w:bidi="ar"/>
              </w:rPr>
              <w:t>1:4.02:1.02</w:t>
            </w:r>
          </w:p>
        </w:tc>
        <w:tc>
          <w:tcPr>
            <w:tcW w:w="1263" w:type="dxa"/>
            <w:noWrap w:val="0"/>
            <w:vAlign w:val="center"/>
          </w:tcPr>
          <w:p>
            <w:pPr>
              <w:widowControl/>
              <w:spacing w:line="360" w:lineRule="auto"/>
              <w:jc w:val="center"/>
              <w:rPr>
                <w:rFonts w:eastAsia="黑体"/>
                <w:kern w:val="0"/>
                <w:szCs w:val="21"/>
                <w:lang w:bidi="ar"/>
              </w:rPr>
            </w:pPr>
            <w:r>
              <w:rPr>
                <w:rFonts w:hint="eastAsia" w:eastAsia="黑体"/>
                <w:kern w:val="0"/>
                <w:szCs w:val="21"/>
                <w:lang w:bidi="ar"/>
              </w:rPr>
              <w:t>1:5.13:1.25</w:t>
            </w:r>
          </w:p>
        </w:tc>
        <w:tc>
          <w:tcPr>
            <w:tcW w:w="1313" w:type="dxa"/>
            <w:noWrap w:val="0"/>
            <w:vAlign w:val="center"/>
          </w:tcPr>
          <w:p>
            <w:pPr>
              <w:widowControl/>
              <w:spacing w:line="360" w:lineRule="auto"/>
              <w:jc w:val="center"/>
              <w:rPr>
                <w:rFonts w:eastAsia="黑体"/>
                <w:kern w:val="0"/>
                <w:szCs w:val="21"/>
                <w:lang w:bidi="ar"/>
              </w:rPr>
            </w:pPr>
            <w:r>
              <w:rPr>
                <w:rFonts w:hint="eastAsia" w:eastAsia="黑体"/>
                <w:kern w:val="0"/>
                <w:szCs w:val="21"/>
                <w:lang w:bidi="ar"/>
              </w:rPr>
              <w:t>1:3.08:0.88</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课程建设实施。在课程建设实施过程中，充分发挥教学指导委员会和教学工作委员会的指导作用，激励课程负责人和教学团队承担主体责任，深入开展行业企业调研活动，加强学习职教理念，及时跟进行业动态，以课程建设规划为引领、以课程建设方案为依据，加强教学组织实施，创新建设方法措施，对接岗位工作任务，提升课程教学效果。具体采取的建设措施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仿宋_GB2312" w:hAnsi="仿宋_GB2312" w:eastAsia="仿宋_GB2312" w:cs="仿宋_GB2312"/>
          <w:sz w:val="28"/>
          <w:szCs w:val="28"/>
          <w:lang w:val="en-US" w:eastAsia="zh-CN"/>
        </w:rPr>
        <w:t>（1）以精品在线开放课程建设为重点，推进教学资源建设。学校2018年建成的校级精品在线开放课程《好好说话—言语交际与人际沟通》在智慧树上线后面向全国推广，取得良好效果，已有84所高校的22229人选课学习（见图3、图4）。</w:t>
      </w:r>
    </w:p>
    <w:p>
      <w:pPr>
        <w:pStyle w:val="2"/>
        <w:ind w:left="0" w:leftChars="0" w:firstLine="0" w:firstLineChars="0"/>
        <w:jc w:val="both"/>
      </w:pPr>
      <w:r>
        <w:drawing>
          <wp:inline distT="0" distB="0" distL="114300" distR="114300">
            <wp:extent cx="5271770" cy="2683510"/>
            <wp:effectExtent l="0" t="0" r="5080" b="254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1"/>
                    <a:stretch>
                      <a:fillRect/>
                    </a:stretch>
                  </pic:blipFill>
                  <pic:spPr>
                    <a:xfrm>
                      <a:off x="0" y="0"/>
                      <a:ext cx="5271770" cy="2683510"/>
                    </a:xfrm>
                    <a:prstGeom prst="rect">
                      <a:avLst/>
                    </a:prstGeom>
                    <a:noFill/>
                    <a:ln>
                      <a:noFill/>
                    </a:ln>
                  </pic:spPr>
                </pic:pic>
              </a:graphicData>
            </a:graphic>
          </wp:inline>
        </w:drawing>
      </w:r>
    </w:p>
    <w:p>
      <w:pPr>
        <w:widowControl/>
        <w:spacing w:line="360" w:lineRule="auto"/>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color w:val="000000"/>
          <w:kern w:val="0"/>
          <w:sz w:val="18"/>
          <w:szCs w:val="18"/>
          <w:lang w:eastAsia="zh-CN"/>
        </w:rPr>
        <w:t>图</w:t>
      </w:r>
      <w:r>
        <w:rPr>
          <w:rFonts w:hint="eastAsia" w:asciiTheme="minorEastAsia" w:hAnsiTheme="minorEastAsia" w:eastAsiaTheme="minorEastAsia" w:cstheme="minorEastAsia"/>
          <w:b/>
          <w:bCs/>
          <w:color w:val="000000"/>
          <w:kern w:val="0"/>
          <w:sz w:val="18"/>
          <w:szCs w:val="18"/>
          <w:lang w:val="en-US" w:eastAsia="zh-CN"/>
        </w:rPr>
        <w:t xml:space="preserve">3  </w:t>
      </w:r>
      <w:r>
        <w:rPr>
          <w:rFonts w:hint="eastAsia" w:asciiTheme="minorEastAsia" w:hAnsiTheme="minorEastAsia" w:eastAsiaTheme="minorEastAsia" w:cstheme="minorEastAsia"/>
          <w:b/>
          <w:bCs/>
          <w:color w:val="000000"/>
          <w:kern w:val="0"/>
          <w:sz w:val="18"/>
          <w:szCs w:val="18"/>
          <w:lang w:eastAsia="zh-CN"/>
        </w:rPr>
        <w:t>智慧树</w:t>
      </w:r>
      <w:r>
        <w:rPr>
          <w:rFonts w:hint="eastAsia" w:asciiTheme="minorEastAsia" w:hAnsiTheme="minorEastAsia" w:eastAsiaTheme="minorEastAsia" w:cstheme="minorEastAsia"/>
          <w:b/>
          <w:bCs/>
          <w:color w:val="000000"/>
          <w:kern w:val="0"/>
          <w:sz w:val="18"/>
          <w:szCs w:val="18"/>
          <w:lang w:val="en-US" w:eastAsia="zh-CN"/>
        </w:rPr>
        <w:t>《好好说话—言语交际与人际沟通》</w:t>
      </w:r>
      <w:r>
        <w:rPr>
          <w:rFonts w:hint="eastAsia" w:asciiTheme="minorEastAsia" w:hAnsiTheme="minorEastAsia" w:eastAsiaTheme="minorEastAsia" w:cstheme="minorEastAsia"/>
          <w:b/>
          <w:bCs/>
          <w:color w:val="000000"/>
          <w:kern w:val="0"/>
          <w:sz w:val="18"/>
          <w:szCs w:val="18"/>
          <w:lang w:eastAsia="zh-CN"/>
        </w:rPr>
        <w:t>课程选课人数统计</w:t>
      </w:r>
    </w:p>
    <w:p>
      <w:pPr>
        <w:pStyle w:val="2"/>
        <w:ind w:left="0" w:leftChars="0" w:firstLine="0" w:firstLineChars="0"/>
        <w:jc w:val="both"/>
      </w:pPr>
      <w:r>
        <w:drawing>
          <wp:inline distT="0" distB="0" distL="114300" distR="114300">
            <wp:extent cx="5269865" cy="2835910"/>
            <wp:effectExtent l="0" t="0" r="6985" b="254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2"/>
                    <a:stretch>
                      <a:fillRect/>
                    </a:stretch>
                  </pic:blipFill>
                  <pic:spPr>
                    <a:xfrm>
                      <a:off x="0" y="0"/>
                      <a:ext cx="5269865" cy="2835910"/>
                    </a:xfrm>
                    <a:prstGeom prst="rect">
                      <a:avLst/>
                    </a:prstGeom>
                    <a:noFill/>
                    <a:ln>
                      <a:noFill/>
                    </a:ln>
                  </pic:spPr>
                </pic:pic>
              </a:graphicData>
            </a:graphic>
          </wp:inline>
        </w:drawing>
      </w:r>
    </w:p>
    <w:p>
      <w:pPr>
        <w:pStyle w:val="2"/>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color w:val="000000"/>
          <w:kern w:val="0"/>
          <w:sz w:val="18"/>
          <w:szCs w:val="18"/>
          <w:lang w:eastAsia="zh-CN"/>
        </w:rPr>
        <w:t>图</w:t>
      </w:r>
      <w:r>
        <w:rPr>
          <w:rFonts w:hint="eastAsia" w:asciiTheme="minorEastAsia" w:hAnsiTheme="minorEastAsia" w:eastAsiaTheme="minorEastAsia" w:cstheme="minorEastAsia"/>
          <w:b/>
          <w:bCs/>
          <w:color w:val="000000"/>
          <w:kern w:val="0"/>
          <w:sz w:val="18"/>
          <w:szCs w:val="18"/>
          <w:lang w:val="en-US" w:eastAsia="zh-CN"/>
        </w:rPr>
        <w:t xml:space="preserve">4  </w:t>
      </w:r>
      <w:r>
        <w:rPr>
          <w:rFonts w:hint="eastAsia" w:asciiTheme="minorEastAsia" w:hAnsiTheme="minorEastAsia" w:eastAsiaTheme="minorEastAsia" w:cstheme="minorEastAsia"/>
          <w:b/>
          <w:bCs/>
          <w:color w:val="000000"/>
          <w:kern w:val="0"/>
          <w:sz w:val="18"/>
          <w:szCs w:val="18"/>
          <w:lang w:eastAsia="zh-CN"/>
        </w:rPr>
        <w:t>智慧树</w:t>
      </w:r>
      <w:r>
        <w:rPr>
          <w:rFonts w:hint="eastAsia" w:asciiTheme="minorEastAsia" w:hAnsiTheme="minorEastAsia" w:eastAsiaTheme="minorEastAsia" w:cstheme="minorEastAsia"/>
          <w:b/>
          <w:bCs/>
          <w:color w:val="000000"/>
          <w:kern w:val="0"/>
          <w:sz w:val="18"/>
          <w:szCs w:val="18"/>
          <w:lang w:val="en-US" w:eastAsia="zh-CN"/>
        </w:rPr>
        <w:t>《好好说话—言语交际与人际沟通》</w:t>
      </w:r>
      <w:r>
        <w:rPr>
          <w:rFonts w:hint="eastAsia" w:asciiTheme="minorEastAsia" w:hAnsiTheme="minorEastAsia" w:eastAsiaTheme="minorEastAsia" w:cstheme="minorEastAsia"/>
          <w:b/>
          <w:bCs/>
          <w:color w:val="000000"/>
          <w:kern w:val="0"/>
          <w:sz w:val="18"/>
          <w:szCs w:val="18"/>
          <w:lang w:eastAsia="zh-CN"/>
        </w:rPr>
        <w:t>课程学习进度统计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（2）以信息化教学平台应用推进混合式教学改革，鼓励教师在教学实施过程中使用职教云和蓝墨云班课，丰富课程建设载体，落实课程建设内容，完成课程建设任务，实现课程建设目标（见图5、图6）。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kern w:val="0"/>
          <w:sz w:val="24"/>
          <w:szCs w:val="24"/>
          <w:lang w:bidi="ar"/>
        </w:rPr>
      </w:pPr>
      <w:r>
        <w:drawing>
          <wp:inline distT="0" distB="0" distL="114300" distR="114300">
            <wp:extent cx="5273040" cy="2482215"/>
            <wp:effectExtent l="0" t="0" r="3810" b="1333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3"/>
                    <a:stretch>
                      <a:fillRect/>
                    </a:stretch>
                  </pic:blipFill>
                  <pic:spPr>
                    <a:xfrm>
                      <a:off x="0" y="0"/>
                      <a:ext cx="5273040" cy="248221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000000"/>
          <w:kern w:val="0"/>
          <w:sz w:val="18"/>
          <w:szCs w:val="18"/>
          <w:lang w:bidi="ar"/>
        </w:rPr>
      </w:pPr>
      <w:r>
        <w:rPr>
          <w:rFonts w:hint="eastAsia" w:ascii="宋体" w:hAnsi="宋体" w:cs="宋体"/>
          <w:b/>
          <w:bCs/>
          <w:color w:val="000000"/>
          <w:kern w:val="0"/>
          <w:sz w:val="18"/>
          <w:szCs w:val="18"/>
          <w:lang w:bidi="ar"/>
        </w:rPr>
        <w:t>图</w:t>
      </w:r>
      <w:r>
        <w:rPr>
          <w:rFonts w:hint="eastAsia" w:ascii="宋体" w:hAnsi="宋体" w:cs="宋体"/>
          <w:b/>
          <w:bCs/>
          <w:color w:val="000000"/>
          <w:kern w:val="0"/>
          <w:sz w:val="18"/>
          <w:szCs w:val="18"/>
          <w:lang w:val="en-US" w:eastAsia="zh-CN" w:bidi="ar"/>
        </w:rPr>
        <w:t>5</w:t>
      </w:r>
      <w:r>
        <w:rPr>
          <w:rFonts w:hint="eastAsia" w:ascii="宋体" w:hAnsi="宋体" w:cs="宋体"/>
          <w:b/>
          <w:bCs/>
          <w:color w:val="000000"/>
          <w:kern w:val="0"/>
          <w:sz w:val="18"/>
          <w:szCs w:val="18"/>
          <w:lang w:bidi="ar"/>
        </w:rPr>
        <w:t>职教云平台建课情况</w:t>
      </w:r>
    </w:p>
    <w:p>
      <w:pPr>
        <w:pStyle w:val="2"/>
        <w:rPr>
          <w:rFonts w:hint="eastAsia" w:ascii="宋体" w:hAnsi="宋体" w:cs="宋体"/>
          <w:b w:val="0"/>
          <w:bCs w:val="0"/>
          <w:color w:val="000000"/>
          <w:kern w:val="0"/>
          <w:sz w:val="21"/>
          <w:szCs w:val="21"/>
          <w:lang w:bidi="ar"/>
        </w:rPr>
      </w:pPr>
    </w:p>
    <w:p>
      <w:pPr>
        <w:pStyle w:val="2"/>
        <w:ind w:left="0" w:leftChars="0" w:firstLine="0" w:firstLineChars="0"/>
        <w:rPr>
          <w:rFonts w:hint="eastAsia" w:ascii="宋体" w:hAnsi="宋体" w:cs="宋体"/>
          <w:b w:val="0"/>
          <w:bCs w:val="0"/>
          <w:color w:val="000000"/>
          <w:kern w:val="0"/>
          <w:sz w:val="21"/>
          <w:szCs w:val="21"/>
          <w:lang w:bidi="ar"/>
        </w:rPr>
      </w:pPr>
      <w:r>
        <w:drawing>
          <wp:inline distT="0" distB="0" distL="114300" distR="114300">
            <wp:extent cx="5267325" cy="975360"/>
            <wp:effectExtent l="0" t="0" r="9525" b="1524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4"/>
                    <a:stretch>
                      <a:fillRect/>
                    </a:stretch>
                  </pic:blipFill>
                  <pic:spPr>
                    <a:xfrm>
                      <a:off x="0" y="0"/>
                      <a:ext cx="5267325" cy="9753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图</w:t>
      </w:r>
      <w:r>
        <w:rPr>
          <w:rFonts w:hint="eastAsia" w:ascii="宋体" w:hAnsi="宋体" w:cs="宋体"/>
          <w:b/>
          <w:bCs/>
          <w:color w:val="000000"/>
          <w:kern w:val="0"/>
          <w:sz w:val="18"/>
          <w:szCs w:val="18"/>
          <w:lang w:val="en-US" w:eastAsia="zh-CN" w:bidi="ar"/>
        </w:rPr>
        <w:t>6</w:t>
      </w:r>
      <w:r>
        <w:rPr>
          <w:rFonts w:hint="eastAsia" w:ascii="宋体" w:hAnsi="宋体" w:cs="宋体"/>
          <w:b/>
          <w:bCs/>
          <w:color w:val="000000"/>
          <w:kern w:val="0"/>
          <w:sz w:val="18"/>
          <w:szCs w:val="18"/>
          <w:lang w:bidi="ar"/>
        </w:rPr>
        <w:t>职教云平台教师登录情况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以教学运行检查推进课程基本建设，督促落实课程标准的修订与执行，监控教学运行过程，对课程教案、教学日志、教学计划完成情况进行诊改。通过严格审核学校“管理与服务平台”中各专业学期开课计划，把控课程开设与人才培养方案的对应度，防止课程建设与课程教学脱离人才培养方案实际。</w:t>
      </w:r>
    </w:p>
    <w:p>
      <w:pPr>
        <w:pStyle w:val="5"/>
        <w:keepNext/>
        <w:keepLines/>
        <w:pageBreakBefore w:val="0"/>
        <w:widowControl/>
        <w:numPr>
          <w:ilvl w:val="0"/>
          <w:numId w:val="0"/>
        </w:numPr>
        <w:kinsoku/>
        <w:wordWrap/>
        <w:overflowPunct/>
        <w:topLinePunct w:val="0"/>
        <w:autoSpaceDE/>
        <w:autoSpaceDN/>
        <w:bidi w:val="0"/>
        <w:adjustRightInd/>
        <w:snapToGrid/>
        <w:ind w:firstLine="562" w:firstLineChars="200"/>
        <w:textAlignment w:val="auto"/>
        <w:rPr>
          <w:rFonts w:hint="eastAsia"/>
          <w:sz w:val="28"/>
          <w:szCs w:val="28"/>
        </w:rPr>
      </w:pPr>
      <w:bookmarkStart w:id="24" w:name="_Toc2692"/>
      <w:r>
        <w:rPr>
          <w:rFonts w:hint="eastAsia"/>
          <w:sz w:val="28"/>
          <w:szCs w:val="28"/>
          <w:lang w:eastAsia="zh-CN"/>
        </w:rPr>
        <w:t>（四）</w:t>
      </w:r>
      <w:r>
        <w:rPr>
          <w:rFonts w:hint="eastAsia"/>
          <w:sz w:val="28"/>
          <w:szCs w:val="28"/>
        </w:rPr>
        <w:t>校内实践教学条件建设</w:t>
      </w:r>
      <w:bookmarkEnd w:id="24"/>
    </w:p>
    <w:p>
      <w:pPr>
        <w:widowControl/>
        <w:spacing w:line="360" w:lineRule="auto"/>
        <w:jc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表14  2019 年学校校内实践教学条件比与全国</w:t>
      </w:r>
      <w:r>
        <w:rPr>
          <w:rFonts w:hint="eastAsia" w:ascii="宋体" w:hAnsi="宋体" w:cs="宋体"/>
          <w:b/>
          <w:color w:val="000000"/>
          <w:kern w:val="0"/>
          <w:sz w:val="24"/>
          <w:szCs w:val="24"/>
          <w:lang w:eastAsia="zh-CN" w:bidi="ar"/>
        </w:rPr>
        <w:t>同</w:t>
      </w:r>
      <w:r>
        <w:rPr>
          <w:rFonts w:hint="eastAsia" w:ascii="宋体" w:hAnsi="宋体" w:cs="宋体"/>
          <w:b/>
          <w:color w:val="000000"/>
          <w:kern w:val="0"/>
          <w:sz w:val="24"/>
          <w:szCs w:val="24"/>
          <w:lang w:bidi="ar"/>
        </w:rPr>
        <w:t>类院校比较</w:t>
      </w:r>
      <w:r>
        <w:rPr>
          <w:rFonts w:hint="eastAsia" w:ascii="宋体" w:hAnsi="宋体" w:cs="宋体"/>
          <w:b/>
          <w:color w:val="000000"/>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1"/>
        <w:gridCol w:w="1336"/>
        <w:gridCol w:w="1243"/>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1" w:type="dxa"/>
            <w:noWrap w:val="0"/>
            <w:vAlign w:val="top"/>
          </w:tcPr>
          <w:p>
            <w:pPr>
              <w:widowControl/>
              <w:ind w:firstLine="1240" w:firstLineChars="5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79744" behindDoc="0" locked="0" layoutInCell="1" allowOverlap="1">
                      <wp:simplePos x="0" y="0"/>
                      <wp:positionH relativeFrom="column">
                        <wp:posOffset>-53975</wp:posOffset>
                      </wp:positionH>
                      <wp:positionV relativeFrom="paragraph">
                        <wp:posOffset>3175</wp:posOffset>
                      </wp:positionV>
                      <wp:extent cx="1837055" cy="389255"/>
                      <wp:effectExtent l="1270" t="4445" r="9525" b="6350"/>
                      <wp:wrapNone/>
                      <wp:docPr id="7" name="直接箭头连接符 7"/>
                      <wp:cNvGraphicFramePr/>
                      <a:graphic xmlns:a="http://schemas.openxmlformats.org/drawingml/2006/main">
                        <a:graphicData uri="http://schemas.microsoft.com/office/word/2010/wordprocessingShape">
                          <wps:wsp>
                            <wps:cNvCnPr/>
                            <wps:spPr>
                              <a:xfrm>
                                <a:off x="0" y="0"/>
                                <a:ext cx="1837055" cy="389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30.65pt;width:144.65pt;z-index:251679744;mso-width-relative:page;mso-height-relative:page;" filled="f" stroked="t" coordsize="21600,21600" o:gfxdata="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gjHMNUAAAAG&#10;AQAADwAAAAAAAAABACAAAAAiAAAAZHJzL2Rvd25yZXYueG1sUEsBAhQAFAAAAAgAh07iQDRAtEbm&#10;AQAAowMAAA4AAAAAAAAAAQAgAAAAJAEAAGRycy9lMm9Eb2MueG1sUEsFBgAAAAAGAAYAWQEAAHwF&#10;A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336" w:type="dxa"/>
            <w:noWrap w:val="0"/>
            <w:vAlign w:val="center"/>
          </w:tcPr>
          <w:p>
            <w:pPr>
              <w:widowControl/>
              <w:spacing w:line="360" w:lineRule="auto"/>
              <w:jc w:val="center"/>
              <w:rPr>
                <w:rFonts w:hint="eastAsia" w:ascii="宋体" w:hAnsi="宋体" w:cs="宋体"/>
                <w:b/>
                <w:kern w:val="0"/>
                <w:szCs w:val="21"/>
                <w:lang w:bidi="ar"/>
              </w:rPr>
            </w:pPr>
            <w:r>
              <w:rPr>
                <w:rFonts w:hint="eastAsia" w:ascii="宋体" w:hAnsi="宋体" w:cs="宋体"/>
                <w:b/>
                <w:kern w:val="0"/>
                <w:szCs w:val="21"/>
                <w:lang w:bidi="ar"/>
              </w:rPr>
              <w:t>学校指标值</w:t>
            </w:r>
          </w:p>
        </w:tc>
        <w:tc>
          <w:tcPr>
            <w:tcW w:w="124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7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2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41" w:type="dxa"/>
            <w:noWrap w:val="0"/>
            <w:vAlign w:val="center"/>
          </w:tcPr>
          <w:p>
            <w:pPr>
              <w:widowControl/>
              <w:jc w:val="left"/>
              <w:rPr>
                <w:rFonts w:ascii="宋体" w:hAnsi="宋体" w:cs="宋体"/>
                <w:kern w:val="0"/>
                <w:sz w:val="21"/>
                <w:szCs w:val="21"/>
                <w:lang w:bidi="ar"/>
              </w:rPr>
            </w:pPr>
            <w:r>
              <w:rPr>
                <w:rFonts w:hint="eastAsia" w:ascii="宋体" w:hAnsi="宋体" w:cs="宋体"/>
                <w:kern w:val="0"/>
                <w:sz w:val="21"/>
                <w:szCs w:val="21"/>
                <w:lang w:bidi="ar"/>
              </w:rPr>
              <w:t>生均校内实践场所面积（㎡/生）</w:t>
            </w:r>
          </w:p>
        </w:tc>
        <w:tc>
          <w:tcPr>
            <w:tcW w:w="1336" w:type="dxa"/>
            <w:noWrap w:val="0"/>
            <w:vAlign w:val="center"/>
          </w:tcPr>
          <w:p>
            <w:pPr>
              <w:widowControl/>
              <w:spacing w:line="360" w:lineRule="auto"/>
              <w:jc w:val="center"/>
              <w:rPr>
                <w:rFonts w:eastAsia="黑体"/>
                <w:kern w:val="0"/>
                <w:szCs w:val="21"/>
                <w:lang w:bidi="ar"/>
              </w:rPr>
            </w:pPr>
            <w:r>
              <w:rPr>
                <w:rFonts w:eastAsia="黑体"/>
                <w:kern w:val="0"/>
                <w:szCs w:val="21"/>
                <w:lang w:bidi="ar"/>
              </w:rPr>
              <w:t>5.57</w:t>
            </w:r>
          </w:p>
        </w:tc>
        <w:tc>
          <w:tcPr>
            <w:tcW w:w="1243" w:type="dxa"/>
            <w:noWrap w:val="0"/>
            <w:vAlign w:val="center"/>
          </w:tcPr>
          <w:p>
            <w:pPr>
              <w:widowControl/>
              <w:spacing w:line="360" w:lineRule="auto"/>
              <w:jc w:val="center"/>
              <w:rPr>
                <w:rFonts w:eastAsia="黑体"/>
                <w:kern w:val="0"/>
                <w:szCs w:val="21"/>
                <w:lang w:bidi="ar"/>
              </w:rPr>
            </w:pPr>
            <w:r>
              <w:rPr>
                <w:rFonts w:eastAsia="黑体"/>
                <w:kern w:val="0"/>
                <w:szCs w:val="21"/>
                <w:lang w:bidi="ar"/>
              </w:rPr>
              <w:t>8.39</w:t>
            </w:r>
          </w:p>
        </w:tc>
        <w:tc>
          <w:tcPr>
            <w:tcW w:w="1276" w:type="dxa"/>
            <w:noWrap w:val="0"/>
            <w:vAlign w:val="center"/>
          </w:tcPr>
          <w:p>
            <w:pPr>
              <w:widowControl/>
              <w:spacing w:line="360" w:lineRule="auto"/>
              <w:jc w:val="center"/>
              <w:rPr>
                <w:rFonts w:eastAsia="黑体"/>
                <w:kern w:val="0"/>
                <w:szCs w:val="21"/>
                <w:lang w:bidi="ar"/>
              </w:rPr>
            </w:pPr>
            <w:r>
              <w:rPr>
                <w:rFonts w:eastAsia="黑体"/>
                <w:kern w:val="0"/>
                <w:szCs w:val="21"/>
                <w:lang w:bidi="ar"/>
              </w:rPr>
              <w:t>3.43</w:t>
            </w:r>
          </w:p>
        </w:tc>
        <w:tc>
          <w:tcPr>
            <w:tcW w:w="1326" w:type="dxa"/>
            <w:noWrap w:val="0"/>
            <w:vAlign w:val="center"/>
          </w:tcPr>
          <w:p>
            <w:pPr>
              <w:widowControl/>
              <w:spacing w:line="360" w:lineRule="auto"/>
              <w:jc w:val="center"/>
              <w:rPr>
                <w:rFonts w:eastAsia="黑体"/>
                <w:kern w:val="0"/>
                <w:szCs w:val="21"/>
                <w:lang w:bidi="ar"/>
              </w:rPr>
            </w:pPr>
            <w:r>
              <w:rPr>
                <w:rFonts w:eastAsia="黑体"/>
                <w:kern w:val="0"/>
                <w:szCs w:val="21"/>
                <w:lang w:bidi="ar"/>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41"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本校相对其他院校增减量（㎡/生）</w:t>
            </w:r>
          </w:p>
        </w:tc>
        <w:tc>
          <w:tcPr>
            <w:tcW w:w="133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0</w:t>
            </w:r>
          </w:p>
        </w:tc>
        <w:tc>
          <w:tcPr>
            <w:tcW w:w="1243"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-33.61</w:t>
            </w:r>
          </w:p>
        </w:tc>
        <w:tc>
          <w:tcPr>
            <w:tcW w:w="127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+62.39</w:t>
            </w:r>
          </w:p>
        </w:tc>
        <w:tc>
          <w:tcPr>
            <w:tcW w:w="132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41"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生均校内实践场所工位数（个/生）</w:t>
            </w:r>
          </w:p>
        </w:tc>
        <w:tc>
          <w:tcPr>
            <w:tcW w:w="1336" w:type="dxa"/>
            <w:noWrap w:val="0"/>
            <w:vAlign w:val="center"/>
          </w:tcPr>
          <w:p>
            <w:pPr>
              <w:widowControl/>
              <w:spacing w:line="360" w:lineRule="auto"/>
              <w:jc w:val="center"/>
              <w:rPr>
                <w:rFonts w:eastAsia="仿宋_GB2312"/>
                <w:kern w:val="0"/>
                <w:szCs w:val="21"/>
                <w:lang w:bidi="ar"/>
              </w:rPr>
            </w:pPr>
            <w:r>
              <w:rPr>
                <w:rFonts w:eastAsia="仿宋_GB2312"/>
                <w:kern w:val="0"/>
                <w:szCs w:val="21"/>
                <w:lang w:bidi="ar"/>
              </w:rPr>
              <w:t>0.75</w:t>
            </w:r>
          </w:p>
        </w:tc>
        <w:tc>
          <w:tcPr>
            <w:tcW w:w="1243" w:type="dxa"/>
            <w:noWrap w:val="0"/>
            <w:vAlign w:val="center"/>
          </w:tcPr>
          <w:p>
            <w:pPr>
              <w:widowControl/>
              <w:spacing w:line="360" w:lineRule="auto"/>
              <w:jc w:val="center"/>
              <w:rPr>
                <w:rFonts w:eastAsia="仿宋_GB2312"/>
                <w:kern w:val="0"/>
                <w:szCs w:val="21"/>
                <w:lang w:bidi="ar"/>
              </w:rPr>
            </w:pPr>
            <w:r>
              <w:rPr>
                <w:rFonts w:eastAsia="仿宋_GB2312"/>
                <w:kern w:val="0"/>
                <w:szCs w:val="21"/>
                <w:lang w:bidi="ar"/>
              </w:rPr>
              <w:t>0.61</w:t>
            </w:r>
          </w:p>
        </w:tc>
        <w:tc>
          <w:tcPr>
            <w:tcW w:w="1276" w:type="dxa"/>
            <w:noWrap w:val="0"/>
            <w:vAlign w:val="center"/>
          </w:tcPr>
          <w:p>
            <w:pPr>
              <w:widowControl/>
              <w:spacing w:line="360" w:lineRule="auto"/>
              <w:jc w:val="center"/>
              <w:rPr>
                <w:rFonts w:eastAsia="仿宋_GB2312"/>
                <w:kern w:val="0"/>
                <w:szCs w:val="21"/>
                <w:lang w:bidi="ar"/>
              </w:rPr>
            </w:pPr>
            <w:r>
              <w:rPr>
                <w:rFonts w:eastAsia="仿宋_GB2312"/>
                <w:kern w:val="0"/>
                <w:szCs w:val="21"/>
                <w:lang w:bidi="ar"/>
              </w:rPr>
              <w:t>0.50</w:t>
            </w:r>
          </w:p>
        </w:tc>
        <w:tc>
          <w:tcPr>
            <w:tcW w:w="1326" w:type="dxa"/>
            <w:noWrap w:val="0"/>
            <w:vAlign w:val="center"/>
          </w:tcPr>
          <w:p>
            <w:pPr>
              <w:widowControl/>
              <w:spacing w:line="360" w:lineRule="auto"/>
              <w:jc w:val="center"/>
              <w:rPr>
                <w:rFonts w:eastAsia="仿宋_GB2312"/>
                <w:kern w:val="0"/>
                <w:szCs w:val="21"/>
                <w:lang w:bidi="ar"/>
              </w:rPr>
            </w:pPr>
            <w:r>
              <w:rPr>
                <w:rFonts w:eastAsia="仿宋_GB2312"/>
                <w:kern w:val="0"/>
                <w:szCs w:val="21"/>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41"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本校相对其他院校增减量（个/生）</w:t>
            </w:r>
          </w:p>
        </w:tc>
        <w:tc>
          <w:tcPr>
            <w:tcW w:w="133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0</w:t>
            </w:r>
          </w:p>
        </w:tc>
        <w:tc>
          <w:tcPr>
            <w:tcW w:w="1243"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+22.95</w:t>
            </w:r>
          </w:p>
        </w:tc>
        <w:tc>
          <w:tcPr>
            <w:tcW w:w="127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+50</w:t>
            </w:r>
          </w:p>
        </w:tc>
        <w:tc>
          <w:tcPr>
            <w:tcW w:w="1326" w:type="dxa"/>
            <w:noWrap w:val="0"/>
            <w:vAlign w:val="center"/>
          </w:tcPr>
          <w:p>
            <w:pPr>
              <w:widowControl/>
              <w:spacing w:line="360" w:lineRule="auto"/>
              <w:jc w:val="center"/>
              <w:rPr>
                <w:rFonts w:eastAsia="仿宋_GB2312"/>
                <w:kern w:val="0"/>
                <w:szCs w:val="21"/>
                <w:lang w:bidi="ar"/>
              </w:rPr>
            </w:pPr>
            <w:r>
              <w:rPr>
                <w:rFonts w:hint="eastAsia" w:eastAsia="仿宋_GB2312"/>
                <w:kern w:val="0"/>
                <w:szCs w:val="21"/>
                <w:lang w:bidi="ar"/>
              </w:rPr>
              <w:t>+63.04</w:t>
            </w:r>
          </w:p>
        </w:tc>
      </w:tr>
    </w:tbl>
    <w:p>
      <w:pPr>
        <w:pStyle w:val="2"/>
        <w:numPr>
          <w:ilvl w:val="0"/>
          <w:numId w:val="0"/>
        </w:numPr>
        <w:ind w:leftChars="400"/>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我校拥有现代化生产性校内实验实训基地和实训室共109个，校外实验实训基地150个，拥有中央财政支持实训基地1个，省级实训基地3个。学校本着“硬件做优、软件做强”的建设思路，围绕高技能应用型人才培养目标，不断加大投入，新建、扩建、改建实验实训室，能够满学校41个专业学生岗位技能训练所需。学校以增强学生职业能力为主线,以技能训练为中心,不断强化实训基地建设，2019年已建成财会综合实训中心、电子商务综合实训中心、人力资源管理实训中心等一批与岗位职业环境相一致，集教学、实训和培训服务于一体的实训基地。加强实训教学和技能培训鉴定工作,组织开展电工、焊工、汽车维修工等6个工种1537人次的技能培训及鉴定考试。</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C00000"/>
          <w:kern w:val="0"/>
          <w:sz w:val="28"/>
          <w:szCs w:val="28"/>
          <w:lang w:eastAsia="zh-CN" w:bidi="ar"/>
        </w:rPr>
      </w:pPr>
      <w:bookmarkStart w:id="25" w:name="_Toc6632"/>
      <w:r>
        <w:rPr>
          <w:rFonts w:hint="eastAsia" w:ascii="宋体" w:hAnsi="宋体" w:cs="宋体"/>
          <w:b/>
          <w:bCs/>
          <w:color w:val="000000"/>
          <w:kern w:val="0"/>
          <w:sz w:val="28"/>
          <w:szCs w:val="28"/>
          <w:lang w:bidi="ar"/>
        </w:rPr>
        <w:t>（五）产教融合与校企合作</w:t>
      </w:r>
      <w:r>
        <w:rPr>
          <w:rFonts w:hint="eastAsia" w:ascii="宋体" w:hAnsi="宋体" w:cs="宋体"/>
          <w:b/>
          <w:bCs/>
          <w:color w:val="000000"/>
          <w:kern w:val="0"/>
          <w:sz w:val="28"/>
          <w:szCs w:val="28"/>
          <w:lang w:eastAsia="zh-CN" w:bidi="ar"/>
        </w:rPr>
        <w:t>机制</w:t>
      </w:r>
      <w:bookmarkEnd w:id="2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根据《国务院办公厅关于深化产教融合的若干意见》、《国家职业教育改革实施方案》和《职业学校校企合作促进办法》等文件精神，结合学校实际情况积极推进有关产教融合、校企合作工作，截止2019年12月，学校层面共与157家优秀企业从共建实训实习基地、订单班、冠名班、共建专业等方面开展合作，同时鼓励二级学院自行开展一定程度的校企合作，截止2019年12月，各二级学院合作企业共73个。学校共与35个企业开展84个订单班、冠名班。</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与洲际酒店集团联合成立了“洲际酒店集团英才培养学院陕西工商职业学院分院”，致力于共同培养高端酒店服务业人才；与天津滨海迅腾科技集团有限公司校企共建信息安全与管理专业，形成信息技术专业集群，开设系列“卓越工程师班”；学校与多家知名企业联合开设多个个冠名班、订单班：皇冠假日酒店冠名班、苏宁云商冠名班、西安创业物业冠名班、洲际酒店集团“英才班”、西安索菲特大酒店“未来之星班”、君兰动漫订单班、恒诚国际物流订单班，京东物流订单班、苏宁易购订单班、境商地产订单班、上海威斯汀管理培训生班、上海佘山艾美酒店管理培训生班、上海锦江大酒店订单班等等。</w:t>
      </w:r>
    </w:p>
    <w:p>
      <w:pPr>
        <w:jc w:val="center"/>
        <w:outlineLvl w:val="1"/>
        <w:rPr>
          <w:rFonts w:hint="eastAsia" w:asciiTheme="minorEastAsia" w:hAnsiTheme="minorEastAsia" w:eastAsiaTheme="minorEastAsia" w:cstheme="minorEastAsia"/>
          <w:b/>
          <w:bCs/>
          <w:sz w:val="24"/>
          <w:szCs w:val="24"/>
          <w:lang w:val="en-US" w:eastAsia="zh-CN"/>
        </w:rPr>
      </w:pPr>
      <w:bookmarkStart w:id="26" w:name="_Toc5378"/>
      <w:bookmarkStart w:id="27" w:name="_Toc27186"/>
      <w:r>
        <w:rPr>
          <w:rFonts w:hint="eastAsia" w:asciiTheme="minorEastAsia" w:hAnsiTheme="minorEastAsia" w:eastAsiaTheme="minorEastAsia" w:cstheme="minorEastAsia"/>
          <w:b/>
          <w:bCs/>
          <w:sz w:val="24"/>
          <w:szCs w:val="24"/>
          <w:lang w:val="en-US" w:eastAsia="zh-CN"/>
        </w:rPr>
        <w:t>附表7    陕西工商职业学院开展企业合作情况</w:t>
      </w:r>
      <w:bookmarkEnd w:id="26"/>
      <w:bookmarkEnd w:id="27"/>
    </w:p>
    <w:tbl>
      <w:tblPr>
        <w:tblStyle w:val="12"/>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1190"/>
        <w:gridCol w:w="1160"/>
        <w:gridCol w:w="778"/>
        <w:gridCol w:w="773"/>
        <w:gridCol w:w="103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vMerge w:val="restart"/>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学院</w:t>
            </w:r>
          </w:p>
        </w:tc>
        <w:tc>
          <w:tcPr>
            <w:tcW w:w="1190" w:type="dxa"/>
            <w:vMerge w:val="restart"/>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合作</w:t>
            </w:r>
          </w:p>
          <w:p>
            <w:pPr>
              <w:jc w:val="center"/>
              <w:rPr>
                <w:rFonts w:hint="eastAsia"/>
                <w:b/>
                <w:bCs/>
                <w:sz w:val="18"/>
                <w:szCs w:val="18"/>
                <w:vertAlign w:val="baseline"/>
                <w:lang w:val="en-US" w:eastAsia="zh-CN"/>
              </w:rPr>
            </w:pPr>
            <w:r>
              <w:rPr>
                <w:rFonts w:hint="eastAsia"/>
                <w:b/>
                <w:bCs/>
                <w:sz w:val="18"/>
                <w:szCs w:val="18"/>
                <w:vertAlign w:val="baseline"/>
                <w:lang w:val="en-US" w:eastAsia="zh-CN"/>
              </w:rPr>
              <w:t>企业数</w:t>
            </w:r>
          </w:p>
        </w:tc>
        <w:tc>
          <w:tcPr>
            <w:tcW w:w="4466" w:type="dxa"/>
            <w:gridSpan w:val="5"/>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42" w:type="dxa"/>
            <w:vMerge w:val="continue"/>
            <w:noWrap w:val="0"/>
            <w:vAlign w:val="center"/>
          </w:tcPr>
          <w:p>
            <w:pPr>
              <w:jc w:val="center"/>
              <w:rPr>
                <w:rFonts w:hint="eastAsia"/>
                <w:b/>
                <w:bCs/>
                <w:sz w:val="18"/>
                <w:szCs w:val="18"/>
                <w:vertAlign w:val="baseline"/>
                <w:lang w:val="en-US" w:eastAsia="zh-CN"/>
              </w:rPr>
            </w:pPr>
          </w:p>
        </w:tc>
        <w:tc>
          <w:tcPr>
            <w:tcW w:w="1190" w:type="dxa"/>
            <w:vMerge w:val="continue"/>
            <w:noWrap w:val="0"/>
            <w:vAlign w:val="center"/>
          </w:tcPr>
          <w:p>
            <w:pPr>
              <w:jc w:val="center"/>
              <w:rPr>
                <w:rFonts w:hint="eastAsia"/>
                <w:b/>
                <w:bCs/>
                <w:sz w:val="18"/>
                <w:szCs w:val="18"/>
                <w:vertAlign w:val="baseline"/>
                <w:lang w:val="en-US" w:eastAsia="zh-CN"/>
              </w:rPr>
            </w:pPr>
          </w:p>
        </w:tc>
        <w:tc>
          <w:tcPr>
            <w:tcW w:w="1160"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校外实习实训基地</w:t>
            </w:r>
          </w:p>
        </w:tc>
        <w:tc>
          <w:tcPr>
            <w:tcW w:w="778"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专业</w:t>
            </w:r>
          </w:p>
          <w:p>
            <w:pPr>
              <w:jc w:val="center"/>
              <w:rPr>
                <w:rFonts w:hint="eastAsia"/>
                <w:b/>
                <w:bCs/>
                <w:sz w:val="18"/>
                <w:szCs w:val="18"/>
                <w:vertAlign w:val="baseline"/>
                <w:lang w:val="en-US" w:eastAsia="zh-CN"/>
              </w:rPr>
            </w:pPr>
            <w:r>
              <w:rPr>
                <w:rFonts w:hint="eastAsia"/>
                <w:b/>
                <w:bCs/>
                <w:sz w:val="18"/>
                <w:szCs w:val="18"/>
                <w:vertAlign w:val="baseline"/>
                <w:lang w:val="en-US" w:eastAsia="zh-CN"/>
              </w:rPr>
              <w:t>共建</w:t>
            </w:r>
          </w:p>
        </w:tc>
        <w:tc>
          <w:tcPr>
            <w:tcW w:w="773"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课程</w:t>
            </w:r>
          </w:p>
          <w:p>
            <w:pPr>
              <w:jc w:val="center"/>
              <w:rPr>
                <w:rFonts w:hint="eastAsia"/>
                <w:b/>
                <w:bCs/>
                <w:sz w:val="18"/>
                <w:szCs w:val="18"/>
                <w:vertAlign w:val="baseline"/>
                <w:lang w:val="en-US" w:eastAsia="zh-CN"/>
              </w:rPr>
            </w:pPr>
            <w:r>
              <w:rPr>
                <w:rFonts w:hint="eastAsia"/>
                <w:b/>
                <w:bCs/>
                <w:sz w:val="18"/>
                <w:szCs w:val="18"/>
                <w:vertAlign w:val="baseline"/>
                <w:lang w:val="en-US" w:eastAsia="zh-CN"/>
              </w:rPr>
              <w:t>共建</w:t>
            </w:r>
          </w:p>
        </w:tc>
        <w:tc>
          <w:tcPr>
            <w:tcW w:w="1034"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冠名班</w:t>
            </w:r>
          </w:p>
          <w:p>
            <w:pPr>
              <w:jc w:val="center"/>
              <w:rPr>
                <w:rFonts w:hint="eastAsia"/>
                <w:b/>
                <w:bCs/>
                <w:sz w:val="18"/>
                <w:szCs w:val="18"/>
                <w:vertAlign w:val="baseline"/>
                <w:lang w:val="en-US" w:eastAsia="zh-CN"/>
              </w:rPr>
            </w:pPr>
            <w:r>
              <w:rPr>
                <w:rFonts w:hint="eastAsia"/>
                <w:b/>
                <w:bCs/>
                <w:sz w:val="18"/>
                <w:szCs w:val="18"/>
                <w:vertAlign w:val="baseline"/>
                <w:lang w:val="en-US" w:eastAsia="zh-CN"/>
              </w:rPr>
              <w:t>订单班</w:t>
            </w:r>
          </w:p>
        </w:tc>
        <w:tc>
          <w:tcPr>
            <w:tcW w:w="721"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物流学院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23</w:t>
            </w:r>
          </w:p>
        </w:tc>
        <w:tc>
          <w:tcPr>
            <w:tcW w:w="1160" w:type="dxa"/>
            <w:noWrap w:val="0"/>
            <w:vAlign w:val="center"/>
          </w:tcPr>
          <w:p>
            <w:pPr>
              <w:jc w:val="center"/>
              <w:rPr>
                <w:rFonts w:hint="eastAsia"/>
                <w:sz w:val="18"/>
                <w:szCs w:val="18"/>
                <w:vertAlign w:val="baseline"/>
                <w:lang w:val="en-US" w:eastAsia="zh-CN"/>
              </w:rPr>
            </w:pP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金融与保险学院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20</w:t>
            </w:r>
          </w:p>
        </w:tc>
        <w:tc>
          <w:tcPr>
            <w:tcW w:w="1160" w:type="dxa"/>
            <w:noWrap w:val="0"/>
            <w:vAlign w:val="center"/>
          </w:tcPr>
          <w:p>
            <w:pPr>
              <w:jc w:val="center"/>
              <w:rPr>
                <w:rFonts w:hint="eastAsia"/>
                <w:sz w:val="18"/>
                <w:szCs w:val="18"/>
                <w:vertAlign w:val="baseline"/>
                <w:lang w:val="en-US" w:eastAsia="zh-CN"/>
              </w:rPr>
            </w:pP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旅游与酒店管理学院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17</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会计学院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14</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信息与智能技术学院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13</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中瑞酒店管理学院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10</w:t>
            </w:r>
          </w:p>
        </w:tc>
        <w:tc>
          <w:tcPr>
            <w:tcW w:w="1160" w:type="dxa"/>
            <w:noWrap w:val="0"/>
            <w:vAlign w:val="center"/>
          </w:tcPr>
          <w:p>
            <w:pPr>
              <w:jc w:val="center"/>
              <w:rPr>
                <w:rFonts w:hint="eastAsia"/>
                <w:sz w:val="18"/>
                <w:szCs w:val="18"/>
                <w:vertAlign w:val="baseline"/>
                <w:lang w:val="en-US" w:eastAsia="zh-CN"/>
              </w:rPr>
            </w:pP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中德机电工程学院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公共管理学院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3"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文化与传媒学院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42"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财务管理学院</w:t>
            </w:r>
          </w:p>
        </w:tc>
        <w:tc>
          <w:tcPr>
            <w:tcW w:w="119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116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w:t>
            </w:r>
          </w:p>
        </w:tc>
        <w:tc>
          <w:tcPr>
            <w:tcW w:w="778" w:type="dxa"/>
            <w:noWrap w:val="0"/>
            <w:vAlign w:val="center"/>
          </w:tcPr>
          <w:p>
            <w:pPr>
              <w:jc w:val="center"/>
              <w:rPr>
                <w:rFonts w:hint="eastAsia"/>
                <w:sz w:val="18"/>
                <w:szCs w:val="18"/>
                <w:vertAlign w:val="baseline"/>
                <w:lang w:val="en-US" w:eastAsia="zh-CN"/>
              </w:rPr>
            </w:pPr>
          </w:p>
        </w:tc>
        <w:tc>
          <w:tcPr>
            <w:tcW w:w="773" w:type="dxa"/>
            <w:noWrap w:val="0"/>
            <w:vAlign w:val="center"/>
          </w:tcPr>
          <w:p>
            <w:pPr>
              <w:jc w:val="center"/>
              <w:rPr>
                <w:rFonts w:hint="eastAsia"/>
                <w:sz w:val="18"/>
                <w:szCs w:val="18"/>
                <w:vertAlign w:val="baseline"/>
                <w:lang w:val="en-US" w:eastAsia="zh-CN"/>
              </w:rPr>
            </w:pPr>
          </w:p>
        </w:tc>
        <w:tc>
          <w:tcPr>
            <w:tcW w:w="1034" w:type="dxa"/>
            <w:noWrap w:val="0"/>
            <w:vAlign w:val="center"/>
          </w:tcPr>
          <w:p>
            <w:pPr>
              <w:jc w:val="center"/>
              <w:rPr>
                <w:rFonts w:hint="eastAsia"/>
                <w:sz w:val="18"/>
                <w:szCs w:val="18"/>
                <w:vertAlign w:val="baseline"/>
                <w:lang w:val="en-US" w:eastAsia="zh-CN"/>
              </w:rPr>
            </w:pPr>
          </w:p>
        </w:tc>
        <w:tc>
          <w:tcPr>
            <w:tcW w:w="721" w:type="dxa"/>
            <w:noWrap w:val="0"/>
            <w:vAlign w:val="center"/>
          </w:tcPr>
          <w:p>
            <w:pPr>
              <w:jc w:val="center"/>
              <w:rPr>
                <w:rFonts w:hint="eastAsia"/>
                <w:sz w:val="18"/>
                <w:szCs w:val="18"/>
                <w:vertAlign w:val="baseline"/>
                <w:lang w:val="en-US" w:eastAsia="zh-CN"/>
              </w:rPr>
            </w:pPr>
          </w:p>
        </w:tc>
      </w:tr>
    </w:tbl>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仿宋_GB2312" w:hAnsi="仿宋_GB2312" w:eastAsia="仿宋_GB2312" w:cs="仿宋_GB2312"/>
          <w:sz w:val="28"/>
          <w:szCs w:val="28"/>
          <w:lang w:val="en-US" w:eastAsia="zh-CN"/>
        </w:rPr>
        <w:t>学校从2017年开始，积极探索深度校企合作，把深度校企合作作为重点建设项目，与学校专业相关行业中的优秀企业共同探索共建专业的校企合作模式，取得了一定的成效，学校的弱势专业的办学水平、师资力量、办学条件、学生规模等诸多方面都因为企业的参与得到了改善。例如：公共管理学院签约的2家合作企业中，与一家开展共建专业、建立校外实习实训基地项目合作；校企共建校内实训中心，包括人力资源综合实训、社保大厅、行为观察室。与另一家开展课程建设、建设成为校级校企合作核心课程，2018年立项校企共建合作开发校本教材6部。校企共建开发《人力资源管理》在线课程一门，线上选课人数达到近1000人，制作慕课相关知识点55个。同时还开展了基于岗位的工作调查、课程标准及实训指导书的制订、开展教研活动等。</w:t>
      </w:r>
    </w:p>
    <w:p>
      <w:pPr>
        <w:pStyle w:val="2"/>
        <w:ind w:left="0" w:leftChars="0" w:firstLine="0" w:firstLineChars="0"/>
        <w:jc w:val="center"/>
        <w:outlineLvl w:val="1"/>
        <w:rPr>
          <w:rFonts w:hint="eastAsia" w:asciiTheme="minorEastAsia" w:hAnsiTheme="minorEastAsia" w:eastAsiaTheme="minorEastAsia" w:cstheme="minorEastAsia"/>
          <w:b/>
          <w:bCs/>
          <w:color w:val="auto"/>
          <w:sz w:val="24"/>
          <w:szCs w:val="24"/>
          <w:lang w:val="en-US" w:eastAsia="zh-CN"/>
        </w:rPr>
      </w:pPr>
      <w:bookmarkStart w:id="28" w:name="_Toc21288"/>
      <w:bookmarkStart w:id="29" w:name="_Toc31737"/>
    </w:p>
    <w:p>
      <w:pPr>
        <w:pStyle w:val="2"/>
        <w:ind w:left="0" w:leftChars="0" w:firstLine="0" w:firstLineChars="0"/>
        <w:jc w:val="center"/>
        <w:outlineLvl w:val="1"/>
        <w:rPr>
          <w:rFonts w:hint="eastAsia" w:asciiTheme="minorEastAsia" w:hAnsiTheme="minorEastAsia" w:eastAsiaTheme="minorEastAsia" w:cstheme="minorEastAsia"/>
          <w:b/>
          <w:bCs/>
          <w:color w:val="auto"/>
          <w:sz w:val="24"/>
          <w:szCs w:val="24"/>
          <w:lang w:val="en-US" w:eastAsia="zh-CN"/>
        </w:rPr>
      </w:pPr>
    </w:p>
    <w:p>
      <w:pPr>
        <w:pStyle w:val="2"/>
        <w:ind w:left="0" w:leftChars="0" w:firstLine="0" w:firstLineChars="0"/>
        <w:jc w:val="center"/>
        <w:outlineLvl w:val="1"/>
        <w:rPr>
          <w:rFonts w:hint="eastAsia"/>
          <w:b/>
          <w:bCs/>
          <w:lang w:val="en-US" w:eastAsia="zh-CN"/>
        </w:rPr>
      </w:pPr>
      <w:r>
        <w:rPr>
          <w:rFonts w:hint="eastAsia" w:asciiTheme="minorEastAsia" w:hAnsiTheme="minorEastAsia" w:eastAsiaTheme="minorEastAsia" w:cstheme="minorEastAsia"/>
          <w:b/>
          <w:bCs/>
          <w:color w:val="auto"/>
          <w:sz w:val="24"/>
          <w:szCs w:val="24"/>
          <w:lang w:val="en-US" w:eastAsia="zh-CN"/>
        </w:rPr>
        <w:t>附表8    陕西工商职业学院2018年度立项名单（校企共建）</w:t>
      </w:r>
      <w:bookmarkEnd w:id="28"/>
      <w:bookmarkEnd w:id="29"/>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461"/>
        <w:gridCol w:w="1230"/>
        <w:gridCol w:w="2803"/>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8"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序号</w:t>
            </w:r>
          </w:p>
        </w:tc>
        <w:tc>
          <w:tcPr>
            <w:tcW w:w="2461"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教材名称</w:t>
            </w:r>
          </w:p>
        </w:tc>
        <w:tc>
          <w:tcPr>
            <w:tcW w:w="1230"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项目负责人</w:t>
            </w:r>
          </w:p>
        </w:tc>
        <w:tc>
          <w:tcPr>
            <w:tcW w:w="2803"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所在学院</w:t>
            </w:r>
          </w:p>
        </w:tc>
        <w:tc>
          <w:tcPr>
            <w:tcW w:w="1328"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eastAsia"/>
                <w:sz w:val="18"/>
                <w:szCs w:val="18"/>
                <w:vertAlign w:val="baseline"/>
                <w:lang w:val="en-US" w:eastAsia="zh-CN"/>
              </w:rPr>
            </w:pPr>
            <w:r>
              <w:rPr>
                <w:rFonts w:hint="eastAsia"/>
                <w:sz w:val="18"/>
                <w:szCs w:val="18"/>
                <w:vertAlign w:val="baseline"/>
                <w:lang w:val="en-US" w:eastAsia="zh-CN"/>
              </w:rPr>
              <w:t>1</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酒店餐饮与服务</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杜建华</w:t>
            </w:r>
          </w:p>
        </w:tc>
        <w:tc>
          <w:tcPr>
            <w:tcW w:w="2803" w:type="dxa"/>
            <w:vAlign w:val="top"/>
          </w:tcPr>
          <w:p>
            <w:pPr>
              <w:jc w:val="center"/>
              <w:rPr>
                <w:rFonts w:hint="eastAsia"/>
                <w:sz w:val="18"/>
                <w:szCs w:val="18"/>
                <w:vertAlign w:val="baseline"/>
                <w:lang w:val="en-US" w:eastAsia="zh-CN"/>
              </w:rPr>
            </w:pPr>
            <w:r>
              <w:rPr>
                <w:rFonts w:hint="eastAsia"/>
                <w:sz w:val="18"/>
                <w:szCs w:val="18"/>
                <w:vertAlign w:val="baseline"/>
                <w:lang w:val="en-US" w:eastAsia="zh-CN"/>
              </w:rPr>
              <w:t>中瑞旅游与酒店管理学院</w:t>
            </w:r>
          </w:p>
        </w:tc>
        <w:tc>
          <w:tcPr>
            <w:tcW w:w="1328" w:type="dxa"/>
            <w:vAlign w:val="top"/>
          </w:tcPr>
          <w:p>
            <w:pPr>
              <w:jc w:val="center"/>
              <w:rPr>
                <w:rFonts w:hint="eastAsia"/>
                <w:sz w:val="18"/>
                <w:szCs w:val="18"/>
                <w:vertAlign w:val="baseline"/>
                <w:lang w:val="en-US" w:eastAsia="zh-CN"/>
              </w:rPr>
            </w:pPr>
            <w:r>
              <w:rPr>
                <w:rFonts w:hint="eastAsia"/>
                <w:sz w:val="18"/>
                <w:szCs w:val="18"/>
                <w:vertAlign w:val="baseline"/>
                <w:lang w:val="en-US" w:eastAsia="zh-CN"/>
              </w:rPr>
              <w:t>出版社审稿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纳税基础与实务</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冯小查</w:t>
            </w:r>
          </w:p>
        </w:tc>
        <w:tc>
          <w:tcPr>
            <w:tcW w:w="2803" w:type="dxa"/>
          </w:tcPr>
          <w:p>
            <w:pPr>
              <w:jc w:val="center"/>
              <w:rPr>
                <w:rFonts w:hint="eastAsia"/>
                <w:sz w:val="18"/>
                <w:szCs w:val="18"/>
                <w:vertAlign w:val="baseline"/>
                <w:lang w:val="en-US" w:eastAsia="zh-CN"/>
              </w:rPr>
            </w:pPr>
            <w:r>
              <w:rPr>
                <w:rFonts w:hint="eastAsia"/>
                <w:sz w:val="18"/>
                <w:szCs w:val="18"/>
                <w:vertAlign w:val="baseline"/>
                <w:lang w:val="en-US" w:eastAsia="zh-CN"/>
              </w:rPr>
              <w:t>会计金融学院</w:t>
            </w:r>
          </w:p>
        </w:tc>
        <w:tc>
          <w:tcPr>
            <w:tcW w:w="1328" w:type="dxa"/>
          </w:tcPr>
          <w:p>
            <w:pPr>
              <w:jc w:val="center"/>
              <w:rPr>
                <w:rFonts w:hint="eastAsia"/>
                <w:sz w:val="18"/>
                <w:szCs w:val="18"/>
                <w:vertAlign w:val="baseline"/>
                <w:lang w:val="en-US" w:eastAsia="zh-CN"/>
              </w:rPr>
            </w:pPr>
            <w:r>
              <w:rPr>
                <w:rFonts w:hint="eastAsia"/>
                <w:sz w:val="18"/>
                <w:szCs w:val="18"/>
                <w:vertAlign w:val="baseline"/>
                <w:lang w:val="en-US" w:eastAsia="zh-CN"/>
              </w:rPr>
              <w:t>出版社审稿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eastAsia"/>
                <w:sz w:val="18"/>
                <w:szCs w:val="18"/>
                <w:vertAlign w:val="baseline"/>
                <w:lang w:val="en-US" w:eastAsia="zh-CN"/>
              </w:rPr>
            </w:pPr>
            <w:r>
              <w:rPr>
                <w:rFonts w:hint="eastAsia"/>
                <w:sz w:val="18"/>
                <w:szCs w:val="18"/>
                <w:vertAlign w:val="baseline"/>
                <w:lang w:val="en-US" w:eastAsia="zh-CN"/>
              </w:rPr>
              <w:t>3</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国际贸易与实务</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姚  涛</w:t>
            </w:r>
          </w:p>
        </w:tc>
        <w:tc>
          <w:tcPr>
            <w:tcW w:w="2803" w:type="dxa"/>
          </w:tcPr>
          <w:p>
            <w:pPr>
              <w:jc w:val="center"/>
              <w:rPr>
                <w:rFonts w:hint="eastAsia"/>
                <w:sz w:val="18"/>
                <w:szCs w:val="18"/>
                <w:vertAlign w:val="baseline"/>
                <w:lang w:val="en-US" w:eastAsia="zh-CN"/>
              </w:rPr>
            </w:pPr>
            <w:r>
              <w:rPr>
                <w:rFonts w:hint="eastAsia"/>
                <w:sz w:val="18"/>
                <w:szCs w:val="18"/>
                <w:vertAlign w:val="baseline"/>
                <w:lang w:val="en-US" w:eastAsia="zh-CN"/>
              </w:rPr>
              <w:t>物流管理学院</w:t>
            </w:r>
          </w:p>
        </w:tc>
        <w:tc>
          <w:tcPr>
            <w:tcW w:w="1328" w:type="dxa"/>
          </w:tcPr>
          <w:p>
            <w:pPr>
              <w:jc w:val="center"/>
              <w:rPr>
                <w:rFonts w:hint="eastAsia"/>
                <w:sz w:val="18"/>
                <w:szCs w:val="18"/>
                <w:vertAlign w:val="baseline"/>
                <w:lang w:val="en-US" w:eastAsia="zh-CN"/>
              </w:rPr>
            </w:pPr>
            <w:r>
              <w:rPr>
                <w:rFonts w:hint="eastAsia"/>
                <w:sz w:val="18"/>
                <w:szCs w:val="18"/>
                <w:vertAlign w:val="baseline"/>
                <w:lang w:val="en-US" w:eastAsia="zh-CN"/>
              </w:rPr>
              <w:t>出版社审稿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eastAsia"/>
                <w:sz w:val="18"/>
                <w:szCs w:val="18"/>
                <w:vertAlign w:val="baseline"/>
                <w:lang w:val="en-US" w:eastAsia="zh-CN"/>
              </w:rPr>
            </w:pPr>
            <w:r>
              <w:rPr>
                <w:rFonts w:hint="eastAsia"/>
                <w:sz w:val="18"/>
                <w:szCs w:val="18"/>
                <w:vertAlign w:val="baseline"/>
                <w:lang w:val="en-US" w:eastAsia="zh-CN"/>
              </w:rPr>
              <w:t>4</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建设工程招投标与合同管理</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杨传光</w:t>
            </w:r>
          </w:p>
        </w:tc>
        <w:tc>
          <w:tcPr>
            <w:tcW w:w="2803" w:type="dxa"/>
          </w:tcPr>
          <w:p>
            <w:pPr>
              <w:jc w:val="center"/>
              <w:rPr>
                <w:rFonts w:hint="eastAsia"/>
                <w:sz w:val="18"/>
                <w:szCs w:val="18"/>
                <w:vertAlign w:val="baseline"/>
                <w:lang w:val="en-US" w:eastAsia="zh-CN"/>
              </w:rPr>
            </w:pPr>
            <w:r>
              <w:rPr>
                <w:rFonts w:hint="eastAsia"/>
                <w:sz w:val="18"/>
                <w:szCs w:val="18"/>
                <w:vertAlign w:val="baseline"/>
                <w:lang w:val="en-US" w:eastAsia="zh-CN"/>
              </w:rPr>
              <w:t>建筑工程学院</w:t>
            </w:r>
          </w:p>
        </w:tc>
        <w:tc>
          <w:tcPr>
            <w:tcW w:w="1328" w:type="dxa"/>
          </w:tcPr>
          <w:p>
            <w:pPr>
              <w:jc w:val="center"/>
              <w:rPr>
                <w:rFonts w:hint="eastAsia"/>
                <w:sz w:val="18"/>
                <w:szCs w:val="18"/>
                <w:vertAlign w:val="baseline"/>
                <w:lang w:val="en-US" w:eastAsia="zh-CN"/>
              </w:rPr>
            </w:pPr>
            <w:r>
              <w:rPr>
                <w:rFonts w:hint="eastAsia"/>
                <w:sz w:val="18"/>
                <w:szCs w:val="18"/>
                <w:vertAlign w:val="baseline"/>
                <w:lang w:val="en-US" w:eastAsia="zh-CN"/>
              </w:rPr>
              <w:t>出版社审稿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咖啡调制与服务</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吕  波</w:t>
            </w:r>
          </w:p>
        </w:tc>
        <w:tc>
          <w:tcPr>
            <w:tcW w:w="2803" w:type="dxa"/>
          </w:tcPr>
          <w:p>
            <w:pPr>
              <w:jc w:val="center"/>
              <w:rPr>
                <w:rFonts w:hint="eastAsia"/>
                <w:sz w:val="18"/>
                <w:szCs w:val="18"/>
                <w:vertAlign w:val="baseline"/>
                <w:lang w:val="en-US" w:eastAsia="zh-CN"/>
              </w:rPr>
            </w:pPr>
            <w:r>
              <w:rPr>
                <w:rFonts w:hint="eastAsia"/>
                <w:sz w:val="18"/>
                <w:szCs w:val="18"/>
                <w:vertAlign w:val="baseline"/>
                <w:lang w:val="en-US" w:eastAsia="zh-CN"/>
              </w:rPr>
              <w:t>中瑞旅游与酒店管理学院</w:t>
            </w:r>
          </w:p>
        </w:tc>
        <w:tc>
          <w:tcPr>
            <w:tcW w:w="1328" w:type="dxa"/>
          </w:tcPr>
          <w:p>
            <w:pPr>
              <w:jc w:val="center"/>
              <w:rPr>
                <w:rFonts w:hint="eastAsia"/>
                <w:sz w:val="18"/>
                <w:szCs w:val="18"/>
                <w:vertAlign w:val="baseline"/>
                <w:lang w:val="en-US" w:eastAsia="zh-CN"/>
              </w:rPr>
            </w:pPr>
            <w:r>
              <w:rPr>
                <w:rFonts w:hint="eastAsia"/>
                <w:sz w:val="18"/>
                <w:szCs w:val="18"/>
                <w:vertAlign w:val="baseline"/>
                <w:lang w:val="en-US" w:eastAsia="zh-CN"/>
              </w:rPr>
              <w:t>出版社审稿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461" w:type="dxa"/>
          </w:tcPr>
          <w:p>
            <w:pPr>
              <w:jc w:val="center"/>
              <w:rPr>
                <w:rFonts w:hint="eastAsia"/>
                <w:sz w:val="18"/>
                <w:szCs w:val="18"/>
                <w:vertAlign w:val="baseline"/>
                <w:lang w:val="en-US" w:eastAsia="zh-CN"/>
              </w:rPr>
            </w:pPr>
            <w:r>
              <w:rPr>
                <w:rFonts w:hint="eastAsia"/>
                <w:sz w:val="18"/>
                <w:szCs w:val="18"/>
                <w:vertAlign w:val="baseline"/>
                <w:lang w:val="en-US" w:eastAsia="zh-CN"/>
              </w:rPr>
              <w:t>人力资源开发与管理</w:t>
            </w:r>
          </w:p>
        </w:tc>
        <w:tc>
          <w:tcPr>
            <w:tcW w:w="1230" w:type="dxa"/>
          </w:tcPr>
          <w:p>
            <w:pPr>
              <w:jc w:val="center"/>
              <w:rPr>
                <w:rFonts w:hint="eastAsia"/>
                <w:sz w:val="18"/>
                <w:szCs w:val="18"/>
                <w:vertAlign w:val="baseline"/>
                <w:lang w:val="en-US" w:eastAsia="zh-CN"/>
              </w:rPr>
            </w:pPr>
            <w:r>
              <w:rPr>
                <w:rFonts w:hint="eastAsia"/>
                <w:sz w:val="18"/>
                <w:szCs w:val="18"/>
                <w:vertAlign w:val="baseline"/>
                <w:lang w:val="en-US" w:eastAsia="zh-CN"/>
              </w:rPr>
              <w:t>杨延冰</w:t>
            </w:r>
          </w:p>
        </w:tc>
        <w:tc>
          <w:tcPr>
            <w:tcW w:w="2803" w:type="dxa"/>
          </w:tcPr>
          <w:p>
            <w:pPr>
              <w:jc w:val="center"/>
              <w:rPr>
                <w:rFonts w:hint="eastAsia"/>
                <w:sz w:val="18"/>
                <w:szCs w:val="18"/>
                <w:vertAlign w:val="baseline"/>
                <w:lang w:val="en-US" w:eastAsia="zh-CN"/>
              </w:rPr>
            </w:pPr>
            <w:r>
              <w:rPr>
                <w:rFonts w:hint="eastAsia"/>
                <w:sz w:val="18"/>
                <w:szCs w:val="18"/>
                <w:vertAlign w:val="baseline"/>
                <w:lang w:val="en-US" w:eastAsia="zh-CN"/>
              </w:rPr>
              <w:t>公共管理学院</w:t>
            </w:r>
          </w:p>
        </w:tc>
        <w:tc>
          <w:tcPr>
            <w:tcW w:w="1328" w:type="dxa"/>
          </w:tcPr>
          <w:p>
            <w:pPr>
              <w:jc w:val="center"/>
              <w:rPr>
                <w:rFonts w:hint="eastAsia"/>
                <w:sz w:val="18"/>
                <w:szCs w:val="18"/>
                <w:vertAlign w:val="baseline"/>
                <w:lang w:val="en-US" w:eastAsia="zh-CN"/>
              </w:rPr>
            </w:pPr>
            <w:r>
              <w:rPr>
                <w:rFonts w:hint="eastAsia"/>
                <w:sz w:val="18"/>
                <w:szCs w:val="18"/>
                <w:vertAlign w:val="baseline"/>
                <w:lang w:val="en-US" w:eastAsia="zh-CN"/>
              </w:rPr>
              <w:t>已出版</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学校2017年根据省政府的总体规划进行资源整合，在原陕西现代服务业职业教育集团的基础上，牵头成立了全国现代服务业职业教育集团西北分部，为学校产教融合、校企合作、集团化办学搭建了广阔的平台。</w:t>
      </w:r>
    </w:p>
    <w:p>
      <w:pPr>
        <w:widowControl/>
        <w:spacing w:line="360" w:lineRule="auto"/>
        <w:ind w:firstLine="236" w:firstLineChars="98"/>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表 15   2019 年学校校企合作情况</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7"/>
        <w:gridCol w:w="1038"/>
        <w:gridCol w:w="119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038"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195"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98"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07" w:type="dxa"/>
            <w:noWrap w:val="0"/>
            <w:vAlign w:val="top"/>
          </w:tcPr>
          <w:p>
            <w:pPr>
              <w:widowControl/>
              <w:spacing w:line="360" w:lineRule="auto"/>
              <w:jc w:val="left"/>
              <w:rPr>
                <w:rFonts w:hint="eastAsia" w:ascii="宋体" w:hAnsi="宋体" w:cs="宋体"/>
              </w:rPr>
            </w:pPr>
            <w:r>
              <w:rPr>
                <w:rFonts w:hint="eastAsia" w:ascii="宋体" w:hAnsi="宋体" w:cs="宋体"/>
                <w:color w:val="000000"/>
                <w:kern w:val="0"/>
                <w:szCs w:val="21"/>
                <w:lang w:bidi="ar"/>
              </w:rPr>
              <w:t>拥有合作企业的专业数占专业设置总数比例（%）</w:t>
            </w:r>
          </w:p>
        </w:tc>
        <w:tc>
          <w:tcPr>
            <w:tcW w:w="1038" w:type="dxa"/>
            <w:noWrap w:val="0"/>
            <w:vAlign w:val="center"/>
          </w:tcPr>
          <w:p>
            <w:pPr>
              <w:widowControl/>
              <w:spacing w:line="360" w:lineRule="auto"/>
              <w:jc w:val="center"/>
              <w:rPr>
                <w:rFonts w:hint="default"/>
                <w:color w:val="000000"/>
                <w:kern w:val="0"/>
                <w:szCs w:val="21"/>
                <w:lang w:val="en-US" w:eastAsia="zh-CN" w:bidi="ar"/>
              </w:rPr>
            </w:pPr>
            <w:r>
              <w:rPr>
                <w:rFonts w:hint="eastAsia"/>
                <w:color w:val="000000"/>
                <w:kern w:val="0"/>
                <w:szCs w:val="21"/>
                <w:lang w:val="en-US" w:eastAsia="zh-CN" w:bidi="ar"/>
              </w:rPr>
              <w:t>57</w:t>
            </w:r>
          </w:p>
        </w:tc>
        <w:tc>
          <w:tcPr>
            <w:tcW w:w="1195" w:type="dxa"/>
            <w:noWrap w:val="0"/>
            <w:vAlign w:val="center"/>
          </w:tcPr>
          <w:p>
            <w:pPr>
              <w:widowControl/>
              <w:spacing w:line="360" w:lineRule="auto"/>
              <w:jc w:val="center"/>
              <w:rPr>
                <w:color w:val="000000"/>
                <w:kern w:val="0"/>
                <w:szCs w:val="21"/>
                <w:lang w:bidi="ar"/>
              </w:rPr>
            </w:pPr>
            <w:r>
              <w:rPr>
                <w:color w:val="000000"/>
                <w:kern w:val="0"/>
                <w:szCs w:val="21"/>
                <w:lang w:bidi="ar"/>
              </w:rPr>
              <w:t>95</w:t>
            </w:r>
          </w:p>
        </w:tc>
        <w:tc>
          <w:tcPr>
            <w:tcW w:w="1598" w:type="dxa"/>
            <w:noWrap w:val="0"/>
            <w:vAlign w:val="center"/>
          </w:tcPr>
          <w:p>
            <w:pPr>
              <w:widowControl/>
              <w:spacing w:line="360" w:lineRule="auto"/>
              <w:jc w:val="center"/>
              <w:rPr>
                <w:rFonts w:hint="default" w:eastAsia="宋体"/>
                <w:color w:val="000000"/>
                <w:kern w:val="0"/>
                <w:szCs w:val="21"/>
                <w:lang w:val="en-US" w:eastAsia="zh-CN" w:bidi="ar"/>
              </w:rPr>
            </w:pPr>
            <w:r>
              <w:rPr>
                <w:rFonts w:hint="eastAsia"/>
                <w:color w:val="000000"/>
                <w:kern w:val="0"/>
                <w:szCs w:val="21"/>
                <w:lang w:bidi="ar"/>
              </w:rPr>
              <w:t>+</w:t>
            </w:r>
            <w:r>
              <w:rPr>
                <w:rFonts w:hint="eastAsia"/>
                <w:color w:val="000000"/>
                <w:kern w:val="0"/>
                <w:szCs w:val="21"/>
                <w:lang w:val="en-US" w:eastAsia="zh-CN" w:bidi="ar"/>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noWrap w:val="0"/>
            <w:vAlign w:val="top"/>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主要合作企业订单培养人数占全日制高职在校生人数比例（%）</w:t>
            </w:r>
          </w:p>
        </w:tc>
        <w:tc>
          <w:tcPr>
            <w:tcW w:w="1038" w:type="dxa"/>
            <w:noWrap w:val="0"/>
            <w:vAlign w:val="center"/>
          </w:tcPr>
          <w:p>
            <w:pPr>
              <w:widowControl/>
              <w:spacing w:line="360" w:lineRule="auto"/>
              <w:jc w:val="center"/>
              <w:rPr>
                <w:rFonts w:hint="default"/>
                <w:color w:val="000000"/>
                <w:kern w:val="0"/>
                <w:szCs w:val="21"/>
                <w:lang w:val="en-US" w:eastAsia="zh-CN" w:bidi="ar"/>
              </w:rPr>
            </w:pPr>
            <w:r>
              <w:rPr>
                <w:rFonts w:hint="eastAsia"/>
                <w:color w:val="000000"/>
                <w:kern w:val="0"/>
                <w:szCs w:val="21"/>
                <w:lang w:val="en-US" w:eastAsia="zh-CN" w:bidi="ar"/>
              </w:rPr>
              <w:t>4.25</w:t>
            </w:r>
          </w:p>
        </w:tc>
        <w:tc>
          <w:tcPr>
            <w:tcW w:w="1195" w:type="dxa"/>
            <w:noWrap w:val="0"/>
            <w:vAlign w:val="center"/>
          </w:tcPr>
          <w:p>
            <w:pPr>
              <w:widowControl/>
              <w:spacing w:line="360" w:lineRule="auto"/>
              <w:jc w:val="center"/>
              <w:rPr>
                <w:color w:val="000000"/>
                <w:kern w:val="0"/>
                <w:szCs w:val="21"/>
                <w:lang w:bidi="ar"/>
              </w:rPr>
            </w:pPr>
            <w:r>
              <w:rPr>
                <w:color w:val="000000"/>
                <w:kern w:val="0"/>
                <w:szCs w:val="21"/>
                <w:lang w:bidi="ar"/>
              </w:rPr>
              <w:t>13.29</w:t>
            </w:r>
          </w:p>
        </w:tc>
        <w:tc>
          <w:tcPr>
            <w:tcW w:w="1598" w:type="dxa"/>
            <w:noWrap w:val="0"/>
            <w:vAlign w:val="center"/>
          </w:tcPr>
          <w:p>
            <w:pPr>
              <w:widowControl/>
              <w:spacing w:line="360" w:lineRule="auto"/>
              <w:jc w:val="center"/>
              <w:rPr>
                <w:rFonts w:hint="default" w:eastAsia="宋体"/>
                <w:color w:val="000000"/>
                <w:kern w:val="0"/>
                <w:szCs w:val="21"/>
                <w:lang w:val="en-US" w:eastAsia="zh-CN" w:bidi="ar"/>
              </w:rPr>
            </w:pPr>
            <w:r>
              <w:rPr>
                <w:rFonts w:hint="eastAsia"/>
                <w:color w:val="000000"/>
                <w:kern w:val="0"/>
                <w:szCs w:val="21"/>
                <w:lang w:bidi="ar"/>
              </w:rPr>
              <w:t>+</w:t>
            </w:r>
            <w:r>
              <w:rPr>
                <w:rFonts w:hint="eastAsia"/>
                <w:color w:val="000000"/>
                <w:kern w:val="0"/>
                <w:szCs w:val="21"/>
                <w:lang w:val="en-US" w:eastAsia="zh-CN" w:bidi="ar"/>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支付企业兼职教师课酬（万元）</w:t>
            </w:r>
          </w:p>
        </w:tc>
        <w:tc>
          <w:tcPr>
            <w:tcW w:w="1038" w:type="dxa"/>
            <w:noWrap w:val="0"/>
            <w:vAlign w:val="center"/>
          </w:tcPr>
          <w:p>
            <w:pPr>
              <w:widowControl/>
              <w:spacing w:line="360" w:lineRule="auto"/>
              <w:jc w:val="center"/>
              <w:rPr>
                <w:color w:val="000000"/>
                <w:kern w:val="0"/>
                <w:szCs w:val="21"/>
                <w:lang w:bidi="ar"/>
              </w:rPr>
            </w:pPr>
            <w:r>
              <w:rPr>
                <w:color w:val="000000"/>
                <w:kern w:val="0"/>
                <w:szCs w:val="21"/>
                <w:lang w:bidi="ar"/>
              </w:rPr>
              <w:t>264.46</w:t>
            </w:r>
          </w:p>
        </w:tc>
        <w:tc>
          <w:tcPr>
            <w:tcW w:w="1195" w:type="dxa"/>
            <w:noWrap w:val="0"/>
            <w:vAlign w:val="center"/>
          </w:tcPr>
          <w:p>
            <w:pPr>
              <w:widowControl/>
              <w:spacing w:line="360" w:lineRule="auto"/>
              <w:jc w:val="center"/>
              <w:rPr>
                <w:color w:val="000000"/>
                <w:kern w:val="0"/>
                <w:szCs w:val="21"/>
                <w:lang w:bidi="ar"/>
              </w:rPr>
            </w:pPr>
            <w:r>
              <w:rPr>
                <w:color w:val="000000"/>
                <w:kern w:val="0"/>
                <w:szCs w:val="21"/>
                <w:lang w:bidi="ar"/>
              </w:rPr>
              <w:t>187.9</w:t>
            </w:r>
            <w:r>
              <w:rPr>
                <w:rFonts w:hint="eastAsia"/>
                <w:color w:val="000000"/>
                <w:kern w:val="0"/>
                <w:szCs w:val="21"/>
                <w:lang w:bidi="ar"/>
              </w:rPr>
              <w:t>1</w:t>
            </w:r>
          </w:p>
        </w:tc>
        <w:tc>
          <w:tcPr>
            <w:tcW w:w="1598"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获得社会（准）捐赠金额（万元）</w:t>
            </w:r>
          </w:p>
        </w:tc>
        <w:tc>
          <w:tcPr>
            <w:tcW w:w="1038" w:type="dxa"/>
            <w:noWrap w:val="0"/>
            <w:vAlign w:val="center"/>
          </w:tcPr>
          <w:p>
            <w:pPr>
              <w:widowControl/>
              <w:spacing w:line="360" w:lineRule="auto"/>
              <w:jc w:val="center"/>
              <w:rPr>
                <w:color w:val="000000"/>
                <w:kern w:val="0"/>
                <w:szCs w:val="21"/>
                <w:lang w:bidi="ar"/>
              </w:rPr>
            </w:pPr>
            <w:r>
              <w:rPr>
                <w:color w:val="000000"/>
                <w:kern w:val="0"/>
                <w:szCs w:val="21"/>
                <w:lang w:bidi="ar"/>
              </w:rPr>
              <w:t>0</w:t>
            </w:r>
          </w:p>
        </w:tc>
        <w:tc>
          <w:tcPr>
            <w:tcW w:w="1195" w:type="dxa"/>
            <w:noWrap w:val="0"/>
            <w:vAlign w:val="center"/>
          </w:tcPr>
          <w:p>
            <w:pPr>
              <w:widowControl/>
              <w:spacing w:line="360" w:lineRule="auto"/>
              <w:jc w:val="center"/>
              <w:rPr>
                <w:color w:val="000000"/>
                <w:kern w:val="0"/>
                <w:szCs w:val="21"/>
                <w:lang w:bidi="ar"/>
              </w:rPr>
            </w:pPr>
            <w:r>
              <w:rPr>
                <w:color w:val="000000"/>
                <w:kern w:val="0"/>
                <w:szCs w:val="21"/>
                <w:lang w:bidi="ar"/>
              </w:rPr>
              <w:t>47.15</w:t>
            </w:r>
          </w:p>
        </w:tc>
        <w:tc>
          <w:tcPr>
            <w:tcW w:w="1598"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企业提供的校内实践教学设备值（万元）</w:t>
            </w:r>
          </w:p>
        </w:tc>
        <w:tc>
          <w:tcPr>
            <w:tcW w:w="1038" w:type="dxa"/>
            <w:noWrap w:val="0"/>
            <w:vAlign w:val="center"/>
          </w:tcPr>
          <w:p>
            <w:pPr>
              <w:widowControl/>
              <w:spacing w:line="360" w:lineRule="auto"/>
              <w:jc w:val="center"/>
              <w:rPr>
                <w:color w:val="000000"/>
                <w:kern w:val="0"/>
                <w:szCs w:val="21"/>
                <w:lang w:bidi="ar"/>
              </w:rPr>
            </w:pPr>
            <w:r>
              <w:rPr>
                <w:color w:val="000000"/>
                <w:kern w:val="0"/>
                <w:szCs w:val="21"/>
                <w:lang w:bidi="ar"/>
              </w:rPr>
              <w:t>0</w:t>
            </w:r>
          </w:p>
        </w:tc>
        <w:tc>
          <w:tcPr>
            <w:tcW w:w="1195" w:type="dxa"/>
            <w:noWrap w:val="0"/>
            <w:vAlign w:val="center"/>
          </w:tcPr>
          <w:p>
            <w:pPr>
              <w:widowControl/>
              <w:spacing w:line="360" w:lineRule="auto"/>
              <w:jc w:val="center"/>
              <w:rPr>
                <w:color w:val="000000"/>
                <w:kern w:val="0"/>
                <w:szCs w:val="21"/>
                <w:lang w:bidi="ar"/>
              </w:rPr>
            </w:pPr>
            <w:r>
              <w:rPr>
                <w:color w:val="000000"/>
                <w:kern w:val="0"/>
                <w:szCs w:val="21"/>
                <w:lang w:bidi="ar"/>
              </w:rPr>
              <w:t>20</w:t>
            </w:r>
          </w:p>
        </w:tc>
        <w:tc>
          <w:tcPr>
            <w:tcW w:w="1598"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+2000</w:t>
            </w:r>
          </w:p>
        </w:tc>
      </w:tr>
    </w:tbl>
    <w:p>
      <w:pPr>
        <w:widowControl/>
        <w:spacing w:line="360" w:lineRule="auto"/>
        <w:ind w:firstLine="236" w:firstLineChars="98"/>
        <w:jc w:val="center"/>
        <w:rPr>
          <w:rFonts w:hint="eastAsia" w:ascii="宋体" w:hAnsi="宋体" w:cs="宋体"/>
          <w:b/>
          <w:color w:val="000000"/>
          <w:kern w:val="0"/>
          <w:sz w:val="24"/>
          <w:lang w:bidi="ar"/>
        </w:rPr>
      </w:pPr>
    </w:p>
    <w:p>
      <w:pPr>
        <w:widowControl/>
        <w:spacing w:line="360" w:lineRule="auto"/>
        <w:ind w:firstLine="236" w:firstLineChars="98"/>
        <w:jc w:val="center"/>
        <w:rPr>
          <w:rFonts w:ascii="宋体" w:hAnsi="宋体" w:cs="宋体"/>
          <w:b/>
          <w:color w:val="000000"/>
          <w:kern w:val="0"/>
          <w:sz w:val="24"/>
          <w:lang w:bidi="ar"/>
        </w:rPr>
      </w:pPr>
      <w:r>
        <w:rPr>
          <w:rFonts w:hint="eastAsia" w:ascii="宋体" w:hAnsi="宋体" w:cs="宋体"/>
          <w:b/>
          <w:color w:val="000000"/>
          <w:kern w:val="0"/>
          <w:sz w:val="24"/>
          <w:lang w:bidi="ar"/>
        </w:rPr>
        <w:t>表16  2019年学校产教融合与校企合作情况与全国</w:t>
      </w:r>
      <w:r>
        <w:rPr>
          <w:rFonts w:hint="eastAsia" w:ascii="宋体" w:hAnsi="宋体" w:cs="宋体"/>
          <w:b/>
          <w:color w:val="000000"/>
          <w:kern w:val="0"/>
          <w:sz w:val="24"/>
          <w:lang w:val="en-US" w:eastAsia="zh-CN" w:bidi="ar"/>
        </w:rPr>
        <w:t>同</w:t>
      </w:r>
      <w:r>
        <w:rPr>
          <w:rFonts w:hint="eastAsia" w:ascii="宋体" w:hAnsi="宋体" w:cs="宋体"/>
          <w:b/>
          <w:color w:val="000000"/>
          <w:kern w:val="0"/>
          <w:sz w:val="24"/>
          <w:lang w:bidi="ar"/>
        </w:rPr>
        <w:t>类院校比较分析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993"/>
        <w:gridCol w:w="1417"/>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widowControl/>
              <w:ind w:firstLine="1240" w:firstLineChars="5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25400</wp:posOffset>
                      </wp:positionV>
                      <wp:extent cx="1892300" cy="318135"/>
                      <wp:effectExtent l="635" t="4445" r="12065" b="20320"/>
                      <wp:wrapNone/>
                      <wp:docPr id="8" name="直接箭头连接符 8"/>
                      <wp:cNvGraphicFramePr/>
                      <a:graphic xmlns:a="http://schemas.openxmlformats.org/drawingml/2006/main">
                        <a:graphicData uri="http://schemas.microsoft.com/office/word/2010/wordprocessingShape">
                          <wps:wsp>
                            <wps:cNvCnPr/>
                            <wps:spPr>
                              <a:xfrm>
                                <a:off x="0" y="0"/>
                                <a:ext cx="1892300" cy="3181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2pt;height:25.05pt;width:149pt;z-index:251664384;mso-width-relative:page;mso-height-relative:page;" filled="f" stroked="t" coordsize="21600,21600" o:gfxdata="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iHSodcAAAAH&#10;AQAADwAAAAAAAAABACAAAAAiAAAAZHJzL2Rvd25yZXYueG1sUEsBAhQAFAAAAAgAh07iQCpDG2Pk&#10;AQAAow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99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学校</w:t>
            </w:r>
          </w:p>
          <w:p>
            <w:pPr>
              <w:widowControl/>
              <w:jc w:val="center"/>
              <w:rPr>
                <w:rFonts w:hint="eastAsia" w:ascii="宋体" w:hAnsi="宋体" w:cs="宋体"/>
                <w:b/>
                <w:kern w:val="0"/>
                <w:szCs w:val="21"/>
                <w:lang w:bidi="ar"/>
              </w:rPr>
            </w:pPr>
            <w:r>
              <w:rPr>
                <w:rFonts w:hint="eastAsia" w:ascii="宋体" w:hAnsi="宋体" w:cs="宋体"/>
                <w:b/>
                <w:kern w:val="0"/>
                <w:szCs w:val="21"/>
                <w:lang w:bidi="ar"/>
              </w:rPr>
              <w:t>指标值</w:t>
            </w:r>
          </w:p>
        </w:tc>
        <w:tc>
          <w:tcPr>
            <w:tcW w:w="141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27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2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 xml:space="preserve">主要合作企业订单培养人数占全日制高职在校生人数比例（%）         </w:t>
            </w:r>
          </w:p>
        </w:tc>
        <w:tc>
          <w:tcPr>
            <w:tcW w:w="993" w:type="dxa"/>
            <w:noWrap w:val="0"/>
            <w:vAlign w:val="center"/>
          </w:tcPr>
          <w:p>
            <w:pPr>
              <w:widowControl/>
              <w:spacing w:line="360" w:lineRule="auto"/>
              <w:jc w:val="center"/>
              <w:rPr>
                <w:kern w:val="0"/>
                <w:szCs w:val="21"/>
                <w:lang w:bidi="ar"/>
              </w:rPr>
            </w:pPr>
            <w:r>
              <w:rPr>
                <w:kern w:val="0"/>
                <w:szCs w:val="21"/>
                <w:lang w:bidi="ar"/>
              </w:rPr>
              <w:t>13.29</w:t>
            </w:r>
          </w:p>
        </w:tc>
        <w:tc>
          <w:tcPr>
            <w:tcW w:w="1417" w:type="dxa"/>
            <w:noWrap w:val="0"/>
            <w:vAlign w:val="center"/>
          </w:tcPr>
          <w:p>
            <w:pPr>
              <w:widowControl/>
              <w:spacing w:line="360" w:lineRule="auto"/>
              <w:jc w:val="center"/>
              <w:rPr>
                <w:kern w:val="0"/>
                <w:szCs w:val="21"/>
                <w:lang w:bidi="ar"/>
              </w:rPr>
            </w:pPr>
            <w:r>
              <w:rPr>
                <w:kern w:val="0"/>
                <w:szCs w:val="21"/>
                <w:lang w:bidi="ar"/>
              </w:rPr>
              <w:t>5.18</w:t>
            </w:r>
          </w:p>
        </w:tc>
        <w:tc>
          <w:tcPr>
            <w:tcW w:w="1276" w:type="dxa"/>
            <w:noWrap w:val="0"/>
            <w:vAlign w:val="center"/>
          </w:tcPr>
          <w:p>
            <w:pPr>
              <w:widowControl/>
              <w:spacing w:line="360" w:lineRule="auto"/>
              <w:jc w:val="center"/>
              <w:rPr>
                <w:kern w:val="0"/>
                <w:szCs w:val="21"/>
                <w:lang w:bidi="ar"/>
              </w:rPr>
            </w:pPr>
            <w:r>
              <w:rPr>
                <w:kern w:val="0"/>
                <w:szCs w:val="21"/>
                <w:lang w:bidi="ar"/>
              </w:rPr>
              <w:t>4.81</w:t>
            </w:r>
          </w:p>
        </w:tc>
        <w:tc>
          <w:tcPr>
            <w:tcW w:w="1326" w:type="dxa"/>
            <w:noWrap w:val="0"/>
            <w:vAlign w:val="center"/>
          </w:tcPr>
          <w:p>
            <w:pPr>
              <w:widowControl/>
              <w:spacing w:line="360" w:lineRule="auto"/>
              <w:jc w:val="center"/>
              <w:rPr>
                <w:kern w:val="0"/>
                <w:szCs w:val="21"/>
                <w:lang w:bidi="ar"/>
              </w:rPr>
            </w:pPr>
            <w:r>
              <w:rPr>
                <w:kern w:val="0"/>
                <w:szCs w:val="21"/>
                <w:lang w:bidi="ar"/>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本校相对其他院校增加的百分点</w:t>
            </w:r>
          </w:p>
        </w:tc>
        <w:tc>
          <w:tcPr>
            <w:tcW w:w="993" w:type="dxa"/>
            <w:noWrap w:val="0"/>
            <w:vAlign w:val="center"/>
          </w:tcPr>
          <w:p>
            <w:pPr>
              <w:widowControl/>
              <w:spacing w:line="360" w:lineRule="auto"/>
              <w:jc w:val="center"/>
              <w:rPr>
                <w:kern w:val="0"/>
                <w:szCs w:val="21"/>
                <w:lang w:bidi="ar"/>
              </w:rPr>
            </w:pPr>
            <w:r>
              <w:rPr>
                <w:rFonts w:hint="eastAsia"/>
                <w:kern w:val="0"/>
                <w:szCs w:val="21"/>
                <w:lang w:bidi="ar"/>
              </w:rPr>
              <w:t>0</w:t>
            </w:r>
          </w:p>
        </w:tc>
        <w:tc>
          <w:tcPr>
            <w:tcW w:w="1417" w:type="dxa"/>
            <w:noWrap w:val="0"/>
            <w:vAlign w:val="center"/>
          </w:tcPr>
          <w:p>
            <w:pPr>
              <w:widowControl/>
              <w:spacing w:line="360" w:lineRule="auto"/>
              <w:jc w:val="center"/>
              <w:rPr>
                <w:kern w:val="0"/>
                <w:szCs w:val="21"/>
                <w:lang w:bidi="ar"/>
              </w:rPr>
            </w:pPr>
            <w:r>
              <w:rPr>
                <w:rFonts w:hint="eastAsia"/>
                <w:kern w:val="0"/>
                <w:szCs w:val="21"/>
                <w:lang w:bidi="ar"/>
              </w:rPr>
              <w:t>+156.56</w:t>
            </w:r>
          </w:p>
        </w:tc>
        <w:tc>
          <w:tcPr>
            <w:tcW w:w="1276" w:type="dxa"/>
            <w:noWrap w:val="0"/>
            <w:vAlign w:val="center"/>
          </w:tcPr>
          <w:p>
            <w:pPr>
              <w:widowControl/>
              <w:spacing w:line="360" w:lineRule="auto"/>
              <w:jc w:val="center"/>
              <w:rPr>
                <w:kern w:val="0"/>
                <w:szCs w:val="21"/>
                <w:lang w:bidi="ar"/>
              </w:rPr>
            </w:pPr>
            <w:r>
              <w:rPr>
                <w:rFonts w:hint="eastAsia"/>
                <w:kern w:val="0"/>
                <w:szCs w:val="21"/>
                <w:lang w:bidi="ar"/>
              </w:rPr>
              <w:t>+176.30</w:t>
            </w:r>
          </w:p>
        </w:tc>
        <w:tc>
          <w:tcPr>
            <w:tcW w:w="1326" w:type="dxa"/>
            <w:noWrap w:val="0"/>
            <w:vAlign w:val="center"/>
          </w:tcPr>
          <w:p>
            <w:pPr>
              <w:widowControl/>
              <w:spacing w:line="360" w:lineRule="auto"/>
              <w:jc w:val="center"/>
              <w:rPr>
                <w:kern w:val="0"/>
                <w:szCs w:val="21"/>
                <w:lang w:bidi="ar"/>
              </w:rPr>
            </w:pPr>
            <w:r>
              <w:rPr>
                <w:rFonts w:hint="eastAsia"/>
                <w:kern w:val="0"/>
                <w:szCs w:val="21"/>
                <w:lang w:bidi="ar"/>
              </w:rPr>
              <w:t>+161.10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企业提供的校内实践教学设备值（万元）</w:t>
            </w:r>
          </w:p>
        </w:tc>
        <w:tc>
          <w:tcPr>
            <w:tcW w:w="993"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20</w:t>
            </w:r>
          </w:p>
        </w:tc>
        <w:tc>
          <w:tcPr>
            <w:tcW w:w="1417"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0</w:t>
            </w:r>
          </w:p>
        </w:tc>
        <w:tc>
          <w:tcPr>
            <w:tcW w:w="1276"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0</w:t>
            </w:r>
          </w:p>
        </w:tc>
        <w:tc>
          <w:tcPr>
            <w:tcW w:w="1326"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本校相对其他院校的增减量（万元）</w:t>
            </w:r>
          </w:p>
        </w:tc>
        <w:tc>
          <w:tcPr>
            <w:tcW w:w="993" w:type="dxa"/>
            <w:noWrap w:val="0"/>
            <w:vAlign w:val="center"/>
          </w:tcPr>
          <w:p>
            <w:pPr>
              <w:widowControl/>
              <w:spacing w:line="360" w:lineRule="auto"/>
              <w:jc w:val="center"/>
              <w:rPr>
                <w:kern w:val="0"/>
                <w:szCs w:val="21"/>
                <w:lang w:bidi="ar"/>
              </w:rPr>
            </w:pPr>
            <w:r>
              <w:rPr>
                <w:rFonts w:hint="eastAsia"/>
                <w:kern w:val="0"/>
                <w:szCs w:val="21"/>
                <w:lang w:bidi="ar"/>
              </w:rPr>
              <w:t>0</w:t>
            </w:r>
          </w:p>
        </w:tc>
        <w:tc>
          <w:tcPr>
            <w:tcW w:w="1417" w:type="dxa"/>
            <w:noWrap w:val="0"/>
            <w:vAlign w:val="center"/>
          </w:tcPr>
          <w:p>
            <w:pPr>
              <w:widowControl/>
              <w:spacing w:line="360" w:lineRule="auto"/>
              <w:jc w:val="center"/>
              <w:rPr>
                <w:kern w:val="0"/>
                <w:szCs w:val="21"/>
                <w:lang w:bidi="ar"/>
              </w:rPr>
            </w:pPr>
            <w:r>
              <w:rPr>
                <w:rFonts w:hint="eastAsia"/>
                <w:kern w:val="0"/>
                <w:szCs w:val="21"/>
                <w:lang w:bidi="ar"/>
              </w:rPr>
              <w:t>+2000</w:t>
            </w:r>
          </w:p>
        </w:tc>
        <w:tc>
          <w:tcPr>
            <w:tcW w:w="1276" w:type="dxa"/>
            <w:noWrap w:val="0"/>
            <w:vAlign w:val="center"/>
          </w:tcPr>
          <w:p>
            <w:pPr>
              <w:widowControl/>
              <w:spacing w:line="360" w:lineRule="auto"/>
              <w:jc w:val="center"/>
              <w:rPr>
                <w:kern w:val="0"/>
                <w:szCs w:val="21"/>
                <w:lang w:bidi="ar"/>
              </w:rPr>
            </w:pPr>
            <w:r>
              <w:rPr>
                <w:rFonts w:hint="eastAsia"/>
                <w:kern w:val="0"/>
                <w:szCs w:val="21"/>
                <w:lang w:bidi="ar"/>
              </w:rPr>
              <w:t>+2000</w:t>
            </w:r>
          </w:p>
        </w:tc>
        <w:tc>
          <w:tcPr>
            <w:tcW w:w="1326" w:type="dxa"/>
            <w:noWrap w:val="0"/>
            <w:vAlign w:val="center"/>
          </w:tcPr>
          <w:p>
            <w:pPr>
              <w:widowControl/>
              <w:spacing w:line="360" w:lineRule="auto"/>
              <w:jc w:val="center"/>
              <w:rPr>
                <w:kern w:val="0"/>
                <w:szCs w:val="21"/>
                <w:lang w:bidi="ar"/>
              </w:rPr>
            </w:pPr>
            <w:r>
              <w:rPr>
                <w:rFonts w:hint="eastAsia"/>
                <w:kern w:val="0"/>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校企合作开发课程所占比例（%）</w:t>
            </w:r>
          </w:p>
        </w:tc>
        <w:tc>
          <w:tcPr>
            <w:tcW w:w="993" w:type="dxa"/>
            <w:noWrap w:val="0"/>
            <w:vAlign w:val="center"/>
          </w:tcPr>
          <w:p>
            <w:pPr>
              <w:widowControl/>
              <w:spacing w:line="360" w:lineRule="auto"/>
              <w:jc w:val="center"/>
              <w:rPr>
                <w:kern w:val="0"/>
                <w:szCs w:val="21"/>
                <w:lang w:bidi="ar"/>
              </w:rPr>
            </w:pPr>
            <w:r>
              <w:rPr>
                <w:kern w:val="0"/>
                <w:szCs w:val="21"/>
                <w:lang w:bidi="ar"/>
              </w:rPr>
              <w:t>2.20</w:t>
            </w:r>
          </w:p>
        </w:tc>
        <w:tc>
          <w:tcPr>
            <w:tcW w:w="1417" w:type="dxa"/>
            <w:noWrap w:val="0"/>
            <w:vAlign w:val="center"/>
          </w:tcPr>
          <w:p>
            <w:pPr>
              <w:widowControl/>
              <w:spacing w:line="360" w:lineRule="auto"/>
              <w:jc w:val="center"/>
              <w:rPr>
                <w:kern w:val="0"/>
                <w:szCs w:val="21"/>
                <w:lang w:bidi="ar"/>
              </w:rPr>
            </w:pPr>
            <w:r>
              <w:rPr>
                <w:kern w:val="0"/>
                <w:szCs w:val="21"/>
                <w:lang w:bidi="ar"/>
              </w:rPr>
              <w:t>3.73</w:t>
            </w:r>
          </w:p>
        </w:tc>
        <w:tc>
          <w:tcPr>
            <w:tcW w:w="1276" w:type="dxa"/>
            <w:noWrap w:val="0"/>
            <w:vAlign w:val="center"/>
          </w:tcPr>
          <w:p>
            <w:pPr>
              <w:widowControl/>
              <w:spacing w:line="360" w:lineRule="auto"/>
              <w:jc w:val="center"/>
              <w:rPr>
                <w:kern w:val="0"/>
                <w:szCs w:val="21"/>
                <w:lang w:bidi="ar"/>
              </w:rPr>
            </w:pPr>
            <w:r>
              <w:rPr>
                <w:kern w:val="0"/>
                <w:szCs w:val="21"/>
                <w:lang w:bidi="ar"/>
              </w:rPr>
              <w:t>3.34</w:t>
            </w:r>
          </w:p>
        </w:tc>
        <w:tc>
          <w:tcPr>
            <w:tcW w:w="1326" w:type="dxa"/>
            <w:noWrap w:val="0"/>
            <w:vAlign w:val="center"/>
          </w:tcPr>
          <w:p>
            <w:pPr>
              <w:widowControl/>
              <w:spacing w:line="360" w:lineRule="auto"/>
              <w:jc w:val="center"/>
              <w:rPr>
                <w:kern w:val="0"/>
                <w:szCs w:val="21"/>
                <w:lang w:bidi="ar"/>
              </w:rPr>
            </w:pPr>
            <w:r>
              <w:rPr>
                <w:kern w:val="0"/>
                <w:szCs w:val="21"/>
                <w:lang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本校相对其他院校增加的百分点</w:t>
            </w:r>
          </w:p>
        </w:tc>
        <w:tc>
          <w:tcPr>
            <w:tcW w:w="993" w:type="dxa"/>
            <w:noWrap w:val="0"/>
            <w:vAlign w:val="center"/>
          </w:tcPr>
          <w:p>
            <w:pPr>
              <w:widowControl/>
              <w:spacing w:line="360" w:lineRule="auto"/>
              <w:jc w:val="center"/>
              <w:rPr>
                <w:kern w:val="0"/>
                <w:szCs w:val="21"/>
                <w:lang w:bidi="ar"/>
              </w:rPr>
            </w:pPr>
            <w:r>
              <w:rPr>
                <w:rFonts w:hint="eastAsia"/>
                <w:kern w:val="0"/>
                <w:szCs w:val="21"/>
                <w:lang w:bidi="ar"/>
              </w:rPr>
              <w:t>0</w:t>
            </w:r>
          </w:p>
        </w:tc>
        <w:tc>
          <w:tcPr>
            <w:tcW w:w="1417" w:type="dxa"/>
            <w:noWrap w:val="0"/>
            <w:vAlign w:val="center"/>
          </w:tcPr>
          <w:p>
            <w:pPr>
              <w:widowControl/>
              <w:spacing w:line="360" w:lineRule="auto"/>
              <w:jc w:val="center"/>
              <w:rPr>
                <w:kern w:val="0"/>
                <w:szCs w:val="21"/>
                <w:lang w:bidi="ar"/>
              </w:rPr>
            </w:pPr>
            <w:r>
              <w:rPr>
                <w:rFonts w:hint="eastAsia"/>
                <w:kern w:val="0"/>
                <w:szCs w:val="21"/>
                <w:lang w:bidi="ar"/>
              </w:rPr>
              <w:t>-41.02</w:t>
            </w:r>
          </w:p>
        </w:tc>
        <w:tc>
          <w:tcPr>
            <w:tcW w:w="1276" w:type="dxa"/>
            <w:noWrap w:val="0"/>
            <w:vAlign w:val="center"/>
          </w:tcPr>
          <w:p>
            <w:pPr>
              <w:widowControl/>
              <w:spacing w:line="360" w:lineRule="auto"/>
              <w:jc w:val="center"/>
              <w:rPr>
                <w:kern w:val="0"/>
                <w:szCs w:val="21"/>
                <w:lang w:bidi="ar"/>
              </w:rPr>
            </w:pPr>
            <w:r>
              <w:rPr>
                <w:rFonts w:hint="eastAsia"/>
                <w:kern w:val="0"/>
                <w:szCs w:val="21"/>
                <w:lang w:bidi="ar"/>
              </w:rPr>
              <w:t>-34.13</w:t>
            </w:r>
          </w:p>
        </w:tc>
        <w:tc>
          <w:tcPr>
            <w:tcW w:w="1326" w:type="dxa"/>
            <w:noWrap w:val="0"/>
            <w:vAlign w:val="center"/>
          </w:tcPr>
          <w:p>
            <w:pPr>
              <w:widowControl/>
              <w:spacing w:line="360" w:lineRule="auto"/>
              <w:jc w:val="center"/>
              <w:rPr>
                <w:kern w:val="0"/>
                <w:szCs w:val="21"/>
                <w:lang w:bidi="ar"/>
              </w:rPr>
            </w:pPr>
            <w:r>
              <w:rPr>
                <w:rFonts w:hint="eastAsia"/>
                <w:kern w:val="0"/>
                <w:szCs w:val="21"/>
                <w:lang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校企合作开发教材数（本/专业）</w:t>
            </w:r>
          </w:p>
        </w:tc>
        <w:tc>
          <w:tcPr>
            <w:tcW w:w="993" w:type="dxa"/>
            <w:noWrap w:val="0"/>
            <w:vAlign w:val="center"/>
          </w:tcPr>
          <w:p>
            <w:pPr>
              <w:widowControl/>
              <w:spacing w:line="360" w:lineRule="auto"/>
              <w:jc w:val="center"/>
              <w:rPr>
                <w:kern w:val="0"/>
                <w:szCs w:val="21"/>
                <w:lang w:bidi="ar"/>
              </w:rPr>
            </w:pPr>
            <w:r>
              <w:rPr>
                <w:kern w:val="0"/>
                <w:szCs w:val="21"/>
                <w:lang w:bidi="ar"/>
              </w:rPr>
              <w:t>0.35</w:t>
            </w:r>
          </w:p>
        </w:tc>
        <w:tc>
          <w:tcPr>
            <w:tcW w:w="1417" w:type="dxa"/>
            <w:noWrap w:val="0"/>
            <w:vAlign w:val="center"/>
          </w:tcPr>
          <w:p>
            <w:pPr>
              <w:widowControl/>
              <w:spacing w:line="360" w:lineRule="auto"/>
              <w:jc w:val="center"/>
              <w:rPr>
                <w:kern w:val="0"/>
                <w:szCs w:val="21"/>
                <w:lang w:bidi="ar"/>
              </w:rPr>
            </w:pPr>
            <w:r>
              <w:rPr>
                <w:kern w:val="0"/>
                <w:szCs w:val="21"/>
                <w:lang w:bidi="ar"/>
              </w:rPr>
              <w:t>0.42</w:t>
            </w:r>
          </w:p>
        </w:tc>
        <w:tc>
          <w:tcPr>
            <w:tcW w:w="1276" w:type="dxa"/>
            <w:noWrap w:val="0"/>
            <w:vAlign w:val="center"/>
          </w:tcPr>
          <w:p>
            <w:pPr>
              <w:widowControl/>
              <w:spacing w:line="360" w:lineRule="auto"/>
              <w:jc w:val="center"/>
              <w:rPr>
                <w:kern w:val="0"/>
                <w:szCs w:val="21"/>
                <w:lang w:bidi="ar"/>
              </w:rPr>
            </w:pPr>
            <w:r>
              <w:rPr>
                <w:kern w:val="0"/>
                <w:szCs w:val="21"/>
                <w:lang w:bidi="ar"/>
              </w:rPr>
              <w:t>0.41</w:t>
            </w:r>
          </w:p>
        </w:tc>
        <w:tc>
          <w:tcPr>
            <w:tcW w:w="1326" w:type="dxa"/>
            <w:noWrap w:val="0"/>
            <w:vAlign w:val="center"/>
          </w:tcPr>
          <w:p>
            <w:pPr>
              <w:widowControl/>
              <w:spacing w:line="360" w:lineRule="auto"/>
              <w:jc w:val="center"/>
              <w:rPr>
                <w:kern w:val="0"/>
                <w:szCs w:val="21"/>
                <w:lang w:bidi="ar"/>
              </w:rPr>
            </w:pPr>
            <w:r>
              <w:rPr>
                <w:kern w:val="0"/>
                <w:szCs w:val="21"/>
                <w:lang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本校相对其他院校的增减量（本/专业）</w:t>
            </w:r>
          </w:p>
        </w:tc>
        <w:tc>
          <w:tcPr>
            <w:tcW w:w="993" w:type="dxa"/>
            <w:noWrap w:val="0"/>
            <w:vAlign w:val="center"/>
          </w:tcPr>
          <w:p>
            <w:pPr>
              <w:widowControl/>
              <w:spacing w:line="360" w:lineRule="auto"/>
              <w:jc w:val="center"/>
              <w:rPr>
                <w:bCs/>
                <w:kern w:val="0"/>
                <w:szCs w:val="21"/>
                <w:lang w:bidi="ar"/>
              </w:rPr>
            </w:pPr>
            <w:r>
              <w:rPr>
                <w:rFonts w:hint="eastAsia"/>
                <w:bCs/>
                <w:kern w:val="0"/>
                <w:szCs w:val="21"/>
                <w:lang w:bidi="ar"/>
              </w:rPr>
              <w:t>0</w:t>
            </w:r>
          </w:p>
        </w:tc>
        <w:tc>
          <w:tcPr>
            <w:tcW w:w="1417" w:type="dxa"/>
            <w:noWrap w:val="0"/>
            <w:vAlign w:val="center"/>
          </w:tcPr>
          <w:p>
            <w:pPr>
              <w:widowControl/>
              <w:spacing w:line="360" w:lineRule="auto"/>
              <w:jc w:val="center"/>
              <w:rPr>
                <w:bCs/>
                <w:kern w:val="0"/>
                <w:szCs w:val="21"/>
                <w:lang w:bidi="ar"/>
              </w:rPr>
            </w:pPr>
            <w:r>
              <w:rPr>
                <w:rFonts w:hint="eastAsia"/>
                <w:bCs/>
                <w:kern w:val="0"/>
                <w:szCs w:val="21"/>
                <w:lang w:bidi="ar"/>
              </w:rPr>
              <w:t>-16.67</w:t>
            </w:r>
          </w:p>
        </w:tc>
        <w:tc>
          <w:tcPr>
            <w:tcW w:w="1276" w:type="dxa"/>
            <w:noWrap w:val="0"/>
            <w:vAlign w:val="center"/>
          </w:tcPr>
          <w:p>
            <w:pPr>
              <w:widowControl/>
              <w:spacing w:line="360" w:lineRule="auto"/>
              <w:jc w:val="center"/>
              <w:rPr>
                <w:bCs/>
                <w:kern w:val="0"/>
                <w:szCs w:val="21"/>
                <w:lang w:bidi="ar"/>
              </w:rPr>
            </w:pPr>
            <w:r>
              <w:rPr>
                <w:rFonts w:hint="eastAsia"/>
                <w:bCs/>
                <w:kern w:val="0"/>
                <w:szCs w:val="21"/>
                <w:lang w:bidi="ar"/>
              </w:rPr>
              <w:t>-14.63</w:t>
            </w:r>
          </w:p>
        </w:tc>
        <w:tc>
          <w:tcPr>
            <w:tcW w:w="1326" w:type="dxa"/>
            <w:noWrap w:val="0"/>
            <w:vAlign w:val="center"/>
          </w:tcPr>
          <w:p>
            <w:pPr>
              <w:widowControl/>
              <w:spacing w:line="360" w:lineRule="auto"/>
              <w:jc w:val="center"/>
              <w:rPr>
                <w:bCs/>
                <w:kern w:val="0"/>
                <w:szCs w:val="21"/>
                <w:lang w:bidi="ar"/>
              </w:rPr>
            </w:pPr>
            <w:r>
              <w:rPr>
                <w:rFonts w:hint="eastAsia"/>
                <w:bCs/>
                <w:kern w:val="0"/>
                <w:szCs w:val="21"/>
                <w:lang w:bidi="ar"/>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学校为企业技术服务收入（万元）</w:t>
            </w:r>
          </w:p>
        </w:tc>
        <w:tc>
          <w:tcPr>
            <w:tcW w:w="993" w:type="dxa"/>
            <w:noWrap w:val="0"/>
            <w:vAlign w:val="center"/>
          </w:tcPr>
          <w:p>
            <w:pPr>
              <w:widowControl/>
              <w:spacing w:line="360" w:lineRule="auto"/>
              <w:jc w:val="center"/>
              <w:rPr>
                <w:bCs/>
                <w:kern w:val="0"/>
                <w:szCs w:val="21"/>
                <w:lang w:bidi="ar"/>
              </w:rPr>
            </w:pPr>
            <w:r>
              <w:rPr>
                <w:bCs/>
                <w:kern w:val="0"/>
                <w:szCs w:val="21"/>
                <w:lang w:bidi="ar"/>
              </w:rPr>
              <w:t>8.15</w:t>
            </w:r>
          </w:p>
        </w:tc>
        <w:tc>
          <w:tcPr>
            <w:tcW w:w="1417" w:type="dxa"/>
            <w:noWrap w:val="0"/>
            <w:vAlign w:val="center"/>
          </w:tcPr>
          <w:p>
            <w:pPr>
              <w:widowControl/>
              <w:spacing w:line="360" w:lineRule="auto"/>
              <w:jc w:val="center"/>
              <w:rPr>
                <w:bCs/>
                <w:kern w:val="0"/>
                <w:szCs w:val="21"/>
                <w:lang w:bidi="ar"/>
              </w:rPr>
            </w:pPr>
            <w:r>
              <w:rPr>
                <w:bCs/>
                <w:kern w:val="0"/>
                <w:szCs w:val="21"/>
                <w:lang w:bidi="ar"/>
              </w:rPr>
              <w:t>10</w:t>
            </w:r>
          </w:p>
        </w:tc>
        <w:tc>
          <w:tcPr>
            <w:tcW w:w="1276" w:type="dxa"/>
            <w:noWrap w:val="0"/>
            <w:vAlign w:val="center"/>
          </w:tcPr>
          <w:p>
            <w:pPr>
              <w:widowControl/>
              <w:spacing w:line="360" w:lineRule="auto"/>
              <w:jc w:val="center"/>
              <w:rPr>
                <w:bCs/>
                <w:kern w:val="0"/>
                <w:szCs w:val="21"/>
                <w:lang w:bidi="ar"/>
              </w:rPr>
            </w:pPr>
            <w:r>
              <w:rPr>
                <w:bCs/>
                <w:kern w:val="0"/>
                <w:szCs w:val="21"/>
                <w:lang w:bidi="ar"/>
              </w:rPr>
              <w:t>5.13</w:t>
            </w:r>
          </w:p>
        </w:tc>
        <w:tc>
          <w:tcPr>
            <w:tcW w:w="1326" w:type="dxa"/>
            <w:noWrap w:val="0"/>
            <w:vAlign w:val="center"/>
          </w:tcPr>
          <w:p>
            <w:pPr>
              <w:widowControl/>
              <w:spacing w:line="360" w:lineRule="auto"/>
              <w:jc w:val="center"/>
              <w:rPr>
                <w:bCs/>
                <w:kern w:val="0"/>
                <w:szCs w:val="21"/>
                <w:lang w:bidi="ar"/>
              </w:rPr>
            </w:pPr>
            <w:r>
              <w:rPr>
                <w:bCs/>
                <w:kern w:val="0"/>
                <w:szCs w:val="21"/>
                <w:lang w:bidi="ar"/>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本校相对其他院校的增减量（万元）</w:t>
            </w:r>
          </w:p>
        </w:tc>
        <w:tc>
          <w:tcPr>
            <w:tcW w:w="993" w:type="dxa"/>
            <w:noWrap w:val="0"/>
            <w:vAlign w:val="center"/>
          </w:tcPr>
          <w:p>
            <w:pPr>
              <w:widowControl/>
              <w:spacing w:line="360" w:lineRule="auto"/>
              <w:jc w:val="center"/>
              <w:rPr>
                <w:bCs/>
                <w:kern w:val="0"/>
                <w:szCs w:val="21"/>
                <w:lang w:bidi="ar"/>
              </w:rPr>
            </w:pPr>
            <w:r>
              <w:rPr>
                <w:rFonts w:hint="eastAsia"/>
                <w:bCs/>
                <w:kern w:val="0"/>
                <w:szCs w:val="21"/>
                <w:lang w:bidi="ar"/>
              </w:rPr>
              <w:t>0</w:t>
            </w:r>
          </w:p>
        </w:tc>
        <w:tc>
          <w:tcPr>
            <w:tcW w:w="1417" w:type="dxa"/>
            <w:noWrap w:val="0"/>
            <w:vAlign w:val="center"/>
          </w:tcPr>
          <w:p>
            <w:pPr>
              <w:widowControl/>
              <w:spacing w:line="360" w:lineRule="auto"/>
              <w:jc w:val="center"/>
              <w:rPr>
                <w:bCs/>
                <w:kern w:val="0"/>
                <w:szCs w:val="21"/>
                <w:lang w:bidi="ar"/>
              </w:rPr>
            </w:pPr>
            <w:r>
              <w:rPr>
                <w:rFonts w:hint="eastAsia"/>
                <w:bCs/>
                <w:kern w:val="0"/>
                <w:szCs w:val="21"/>
                <w:lang w:bidi="ar"/>
              </w:rPr>
              <w:t>-18.50</w:t>
            </w:r>
          </w:p>
        </w:tc>
        <w:tc>
          <w:tcPr>
            <w:tcW w:w="1276" w:type="dxa"/>
            <w:noWrap w:val="0"/>
            <w:vAlign w:val="center"/>
          </w:tcPr>
          <w:p>
            <w:pPr>
              <w:widowControl/>
              <w:spacing w:line="360" w:lineRule="auto"/>
              <w:jc w:val="center"/>
              <w:rPr>
                <w:bCs/>
                <w:kern w:val="0"/>
                <w:szCs w:val="21"/>
                <w:lang w:bidi="ar"/>
              </w:rPr>
            </w:pPr>
            <w:r>
              <w:rPr>
                <w:rFonts w:hint="eastAsia"/>
                <w:bCs/>
                <w:kern w:val="0"/>
                <w:szCs w:val="21"/>
                <w:lang w:bidi="ar"/>
              </w:rPr>
              <w:t>+58.87</w:t>
            </w:r>
          </w:p>
        </w:tc>
        <w:tc>
          <w:tcPr>
            <w:tcW w:w="1326" w:type="dxa"/>
            <w:noWrap w:val="0"/>
            <w:vAlign w:val="center"/>
          </w:tcPr>
          <w:p>
            <w:pPr>
              <w:widowControl/>
              <w:spacing w:line="360" w:lineRule="auto"/>
              <w:jc w:val="center"/>
              <w:rPr>
                <w:bCs/>
                <w:kern w:val="0"/>
                <w:szCs w:val="21"/>
                <w:lang w:bidi="ar"/>
              </w:rPr>
            </w:pPr>
            <w:r>
              <w:rPr>
                <w:rFonts w:hint="eastAsia"/>
                <w:bCs/>
                <w:kern w:val="0"/>
                <w:szCs w:val="21"/>
                <w:lang w:bidi="ar"/>
              </w:rPr>
              <w:t>+68.74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学校为企业培训员工（人次）</w:t>
            </w:r>
          </w:p>
        </w:tc>
        <w:tc>
          <w:tcPr>
            <w:tcW w:w="993" w:type="dxa"/>
            <w:noWrap w:val="0"/>
            <w:vAlign w:val="center"/>
          </w:tcPr>
          <w:p>
            <w:pPr>
              <w:widowControl/>
              <w:spacing w:line="360" w:lineRule="auto"/>
              <w:jc w:val="center"/>
              <w:rPr>
                <w:bCs/>
                <w:kern w:val="0"/>
                <w:szCs w:val="21"/>
                <w:lang w:bidi="ar"/>
              </w:rPr>
            </w:pPr>
            <w:r>
              <w:rPr>
                <w:bCs/>
                <w:kern w:val="0"/>
                <w:szCs w:val="21"/>
                <w:lang w:bidi="ar"/>
              </w:rPr>
              <w:t>1882</w:t>
            </w:r>
          </w:p>
        </w:tc>
        <w:tc>
          <w:tcPr>
            <w:tcW w:w="1417" w:type="dxa"/>
            <w:noWrap w:val="0"/>
            <w:vAlign w:val="center"/>
          </w:tcPr>
          <w:p>
            <w:pPr>
              <w:widowControl/>
              <w:spacing w:line="360" w:lineRule="auto"/>
              <w:jc w:val="center"/>
              <w:rPr>
                <w:bCs/>
                <w:kern w:val="0"/>
                <w:szCs w:val="21"/>
                <w:lang w:bidi="ar"/>
              </w:rPr>
            </w:pPr>
            <w:r>
              <w:rPr>
                <w:bCs/>
                <w:kern w:val="0"/>
                <w:szCs w:val="21"/>
                <w:lang w:bidi="ar"/>
              </w:rPr>
              <w:t>1030</w:t>
            </w:r>
          </w:p>
        </w:tc>
        <w:tc>
          <w:tcPr>
            <w:tcW w:w="1276" w:type="dxa"/>
            <w:noWrap w:val="0"/>
            <w:vAlign w:val="center"/>
          </w:tcPr>
          <w:p>
            <w:pPr>
              <w:widowControl/>
              <w:spacing w:line="360" w:lineRule="auto"/>
              <w:jc w:val="center"/>
              <w:rPr>
                <w:bCs/>
                <w:kern w:val="0"/>
                <w:szCs w:val="21"/>
                <w:lang w:bidi="ar"/>
              </w:rPr>
            </w:pPr>
            <w:r>
              <w:rPr>
                <w:bCs/>
                <w:kern w:val="0"/>
                <w:szCs w:val="21"/>
                <w:lang w:bidi="ar"/>
              </w:rPr>
              <w:t>767.5</w:t>
            </w:r>
          </w:p>
        </w:tc>
        <w:tc>
          <w:tcPr>
            <w:tcW w:w="1326" w:type="dxa"/>
            <w:noWrap w:val="0"/>
            <w:vAlign w:val="center"/>
          </w:tcPr>
          <w:p>
            <w:pPr>
              <w:widowControl/>
              <w:spacing w:line="360" w:lineRule="auto"/>
              <w:jc w:val="center"/>
              <w:rPr>
                <w:bCs/>
                <w:kern w:val="0"/>
                <w:szCs w:val="21"/>
                <w:lang w:bidi="ar"/>
              </w:rPr>
            </w:pPr>
            <w:r>
              <w:rPr>
                <w:bCs/>
                <w:kern w:val="0"/>
                <w:szCs w:val="21"/>
                <w:lang w:bidi="ar"/>
              </w:rPr>
              <w:t>1349.5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510"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本校相对其他院校的增减量（人次）</w:t>
            </w:r>
          </w:p>
        </w:tc>
        <w:tc>
          <w:tcPr>
            <w:tcW w:w="993" w:type="dxa"/>
            <w:noWrap w:val="0"/>
            <w:vAlign w:val="center"/>
          </w:tcPr>
          <w:p>
            <w:pPr>
              <w:widowControl/>
              <w:spacing w:line="360" w:lineRule="auto"/>
              <w:jc w:val="center"/>
              <w:rPr>
                <w:bCs/>
                <w:kern w:val="0"/>
                <w:szCs w:val="21"/>
                <w:lang w:bidi="ar"/>
              </w:rPr>
            </w:pPr>
            <w:r>
              <w:rPr>
                <w:rFonts w:hint="eastAsia"/>
                <w:bCs/>
                <w:kern w:val="0"/>
                <w:szCs w:val="21"/>
                <w:lang w:bidi="ar"/>
              </w:rPr>
              <w:t>0</w:t>
            </w:r>
          </w:p>
        </w:tc>
        <w:tc>
          <w:tcPr>
            <w:tcW w:w="1417" w:type="dxa"/>
            <w:noWrap w:val="0"/>
            <w:vAlign w:val="center"/>
          </w:tcPr>
          <w:p>
            <w:pPr>
              <w:widowControl/>
              <w:spacing w:line="360" w:lineRule="auto"/>
              <w:jc w:val="center"/>
              <w:rPr>
                <w:bCs/>
                <w:kern w:val="0"/>
                <w:szCs w:val="21"/>
                <w:lang w:bidi="ar"/>
              </w:rPr>
            </w:pPr>
            <w:r>
              <w:rPr>
                <w:rFonts w:hint="eastAsia"/>
                <w:bCs/>
                <w:kern w:val="0"/>
                <w:szCs w:val="21"/>
                <w:lang w:bidi="ar"/>
              </w:rPr>
              <w:t>+82.72</w:t>
            </w:r>
          </w:p>
        </w:tc>
        <w:tc>
          <w:tcPr>
            <w:tcW w:w="1276" w:type="dxa"/>
            <w:noWrap w:val="0"/>
            <w:vAlign w:val="center"/>
          </w:tcPr>
          <w:p>
            <w:pPr>
              <w:widowControl/>
              <w:spacing w:line="360" w:lineRule="auto"/>
              <w:jc w:val="center"/>
              <w:rPr>
                <w:bCs/>
                <w:kern w:val="0"/>
                <w:szCs w:val="21"/>
                <w:lang w:bidi="ar"/>
              </w:rPr>
            </w:pPr>
            <w:r>
              <w:rPr>
                <w:rFonts w:hint="eastAsia"/>
                <w:bCs/>
                <w:kern w:val="0"/>
                <w:szCs w:val="21"/>
                <w:lang w:bidi="ar"/>
              </w:rPr>
              <w:t>+145.21</w:t>
            </w:r>
          </w:p>
        </w:tc>
        <w:tc>
          <w:tcPr>
            <w:tcW w:w="1326" w:type="dxa"/>
            <w:noWrap w:val="0"/>
            <w:vAlign w:val="center"/>
          </w:tcPr>
          <w:p>
            <w:pPr>
              <w:widowControl/>
              <w:spacing w:line="360" w:lineRule="auto"/>
              <w:jc w:val="center"/>
              <w:rPr>
                <w:bCs/>
                <w:kern w:val="0"/>
                <w:szCs w:val="21"/>
                <w:lang w:bidi="ar"/>
              </w:rPr>
            </w:pPr>
            <w:r>
              <w:rPr>
                <w:rFonts w:hint="eastAsia"/>
                <w:bCs/>
                <w:kern w:val="0"/>
                <w:szCs w:val="21"/>
                <w:lang w:bidi="ar"/>
              </w:rPr>
              <w:t>+39.46</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产教融合与校企合作方面与全国同类高职院校的比较，比较低的指标为校企合作开发课程所占比例、校企合作开发教材数两项，由于学校从2017年开展深度校企合作，处于探索阶段，加之开展试点性深度合作的专业都是学校相对弱势的专业，工作重心主要在专业建设和实践教学方面，对于鼓励校企合作开发课程、教材等方面的政策制度还不健全，专业教师对此不太了解是这两项指标相对较低产生的原因。</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eastAsia="宋体" w:cs="宋体"/>
          <w:b/>
          <w:bCs/>
          <w:color w:val="000000"/>
          <w:kern w:val="0"/>
          <w:sz w:val="28"/>
          <w:szCs w:val="28"/>
          <w:lang w:bidi="ar"/>
        </w:rPr>
      </w:pPr>
      <w:bookmarkStart w:id="30" w:name="_Toc19253"/>
      <w:r>
        <w:rPr>
          <w:rFonts w:hint="eastAsia" w:ascii="宋体" w:hAnsi="宋体" w:eastAsia="宋体" w:cs="宋体"/>
          <w:b/>
          <w:bCs/>
          <w:color w:val="000000"/>
          <w:kern w:val="0"/>
          <w:sz w:val="28"/>
          <w:szCs w:val="28"/>
          <w:lang w:bidi="ar"/>
        </w:rPr>
        <w:t>五、学生发展成效分析</w:t>
      </w:r>
      <w:bookmarkEnd w:id="30"/>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000000"/>
          <w:kern w:val="0"/>
          <w:sz w:val="24"/>
          <w:szCs w:val="24"/>
          <w:lang w:bidi="ar"/>
        </w:rPr>
      </w:pPr>
      <w:bookmarkStart w:id="31" w:name="_Toc18670"/>
      <w:r>
        <w:rPr>
          <w:rFonts w:hint="eastAsia" w:ascii="宋体" w:hAnsi="宋体" w:eastAsia="宋体" w:cs="宋体"/>
          <w:b/>
          <w:bCs/>
          <w:color w:val="000000"/>
          <w:kern w:val="0"/>
          <w:sz w:val="28"/>
          <w:szCs w:val="28"/>
          <w:lang w:bidi="ar"/>
        </w:rPr>
        <w:t>（一）毕业生职业资格证书</w:t>
      </w:r>
      <w:r>
        <w:rPr>
          <w:rFonts w:hint="eastAsia" w:ascii="宋体" w:hAnsi="宋体" w:cs="宋体"/>
          <w:b/>
          <w:bCs/>
          <w:color w:val="000000"/>
          <w:kern w:val="0"/>
          <w:sz w:val="28"/>
          <w:szCs w:val="28"/>
          <w:lang w:eastAsia="zh-CN" w:bidi="ar"/>
        </w:rPr>
        <w:t>获取</w:t>
      </w:r>
      <w:r>
        <w:rPr>
          <w:rFonts w:hint="eastAsia" w:ascii="宋体" w:hAnsi="宋体" w:eastAsia="宋体" w:cs="宋体"/>
          <w:b/>
          <w:bCs/>
          <w:color w:val="000000"/>
          <w:kern w:val="0"/>
          <w:sz w:val="28"/>
          <w:szCs w:val="28"/>
          <w:lang w:bidi="ar"/>
        </w:rPr>
        <w:t>情况</w:t>
      </w:r>
      <w:bookmarkEnd w:id="31"/>
    </w:p>
    <w:p>
      <w:pPr>
        <w:widowControl/>
        <w:spacing w:line="36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表17  2019 年学校毕业生获得职业资格证书情况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99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992"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993"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59"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center"/>
          </w:tcPr>
          <w:p>
            <w:pPr>
              <w:widowControl/>
              <w:jc w:val="left"/>
              <w:rPr>
                <w:color w:val="000000"/>
                <w:kern w:val="0"/>
                <w:szCs w:val="21"/>
                <w:lang w:bidi="ar"/>
              </w:rPr>
            </w:pPr>
            <w:r>
              <w:rPr>
                <w:rFonts w:hint="eastAsia"/>
                <w:color w:val="000000"/>
                <w:kern w:val="0"/>
                <w:szCs w:val="21"/>
                <w:lang w:bidi="ar"/>
              </w:rPr>
              <w:t>学生在各类职业技能竞赛中获奖数（项）</w:t>
            </w:r>
          </w:p>
        </w:tc>
        <w:tc>
          <w:tcPr>
            <w:tcW w:w="992"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12</w:t>
            </w:r>
          </w:p>
        </w:tc>
        <w:tc>
          <w:tcPr>
            <w:tcW w:w="993"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66</w:t>
            </w:r>
          </w:p>
        </w:tc>
        <w:tc>
          <w:tcPr>
            <w:tcW w:w="1559" w:type="dxa"/>
            <w:noWrap w:val="0"/>
            <w:vAlign w:val="center"/>
          </w:tcPr>
          <w:p>
            <w:pPr>
              <w:widowControl/>
              <w:spacing w:line="360" w:lineRule="auto"/>
              <w:jc w:val="center"/>
              <w:rPr>
                <w:color w:val="000000"/>
                <w:kern w:val="0"/>
                <w:szCs w:val="21"/>
                <w:lang w:bidi="ar"/>
              </w:rPr>
            </w:pPr>
            <w:r>
              <w:rPr>
                <w:rFonts w:hint="eastAsia"/>
                <w:color w:val="000000"/>
                <w:kern w:val="0"/>
                <w:szCs w:val="21"/>
                <w:lang w:bidi="ar"/>
              </w:rPr>
              <w:t>+450</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加强学生参加各级各类职业考试及技能竞赛，促进高职学生职业技能水平和整体素质的提高，激励学生个性化发展，培养学生的创新意识、实践能力和团队精神，鼓励广大教师积极参与和辅导高职学生参加技能竞赛活动，推动学校教育教学改革,提高学校办学质量，扩大学院影响力。近些年，学校不断加大对职业技能考试相关的培训及资金投入，2019年在校生考证获得不同证书的有756人，占比不断提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几年，我校获得全国性高等职业院校技能大赛特等奖2项、全国性高等职业院校技能大赛一等奖16项、全国性高等职业院校技能大赛二等奖35项、全国性高等职业院校技能大赛三等奖57项、陕西省高等职业院校技能大赛一等奖42项、陕西省高等职业院校技能大赛二等奖69项、陕西省高等职业院校技能大赛三等奖91项。需要说明的是，学生取得省级以上技能大赛获奖数量增幅较大的原因是加入了中职层次的竞赛获奖数量。</w:t>
      </w:r>
    </w:p>
    <w:p>
      <w:pPr>
        <w:widowControl/>
        <w:spacing w:line="360" w:lineRule="auto"/>
        <w:jc w:val="left"/>
        <w:rPr>
          <w:rFonts w:hint="eastAsia" w:ascii="宋体" w:hAnsi="宋体" w:cs="宋体"/>
          <w:b/>
          <w:color w:val="000000"/>
          <w:kern w:val="0"/>
          <w:sz w:val="24"/>
          <w:lang w:bidi="ar"/>
        </w:rPr>
      </w:pPr>
      <w:r>
        <w:rPr>
          <w:rFonts w:hint="eastAsia" w:ascii="宋体" w:hAnsi="宋体" w:cs="宋体"/>
          <w:b/>
          <w:color w:val="000000"/>
          <w:kern w:val="0"/>
          <w:sz w:val="24"/>
          <w:lang w:bidi="ar"/>
        </w:rPr>
        <w:t>表18  2019 年学生取得省级及以上技能大赛获奖数（项）与全国同类院校比较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1"/>
        <w:gridCol w:w="1064"/>
        <w:gridCol w:w="915"/>
        <w:gridCol w:w="111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noWrap w:val="0"/>
            <w:vAlign w:val="top"/>
          </w:tcPr>
          <w:p>
            <w:pPr>
              <w:widowControl/>
              <w:ind w:firstLine="2505" w:firstLineChars="11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25400</wp:posOffset>
                      </wp:positionV>
                      <wp:extent cx="2856230" cy="353695"/>
                      <wp:effectExtent l="635" t="4445" r="635" b="22860"/>
                      <wp:wrapNone/>
                      <wp:docPr id="9" name="直接箭头连接符 9"/>
                      <wp:cNvGraphicFramePr/>
                      <a:graphic xmlns:a="http://schemas.openxmlformats.org/drawingml/2006/main">
                        <a:graphicData uri="http://schemas.microsoft.com/office/word/2010/wordprocessingShape">
                          <wps:wsp>
                            <wps:cNvCnPr/>
                            <wps:spPr>
                              <a:xfrm>
                                <a:off x="0" y="0"/>
                                <a:ext cx="2856230" cy="3536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2pt;height:27.85pt;width:224.9pt;z-index:251665408;mso-width-relative:page;mso-height-relative:page;" filled="f" stroked="t" coordsize="21600,21600" o:gfxdata="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kfGCrWAAAA&#10;BwEAAA8AAAAAAAAAAQAgAAAAIgAAAGRycy9kb3ducmV2LnhtbFBLAQIUABQAAAAIAIdO4kAxBTIh&#10;5gEAAKM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065" w:type="dxa"/>
            <w:noWrap w:val="0"/>
            <w:vAlign w:val="center"/>
          </w:tcPr>
          <w:p>
            <w:pPr>
              <w:widowControl/>
              <w:spacing w:line="360" w:lineRule="auto"/>
              <w:jc w:val="center"/>
              <w:rPr>
                <w:rFonts w:hint="eastAsia" w:ascii="宋体" w:hAnsi="宋体" w:cs="宋体"/>
                <w:b/>
                <w:kern w:val="0"/>
                <w:szCs w:val="21"/>
                <w:lang w:bidi="ar"/>
              </w:rPr>
            </w:pPr>
            <w:r>
              <w:rPr>
                <w:rFonts w:hint="eastAsia" w:ascii="宋体" w:hAnsi="宋体" w:cs="宋体"/>
                <w:b/>
                <w:kern w:val="0"/>
                <w:szCs w:val="21"/>
                <w:lang w:bidi="ar"/>
              </w:rPr>
              <w:t>学校数量</w:t>
            </w:r>
          </w:p>
        </w:tc>
        <w:tc>
          <w:tcPr>
            <w:tcW w:w="91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110"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908"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24"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学生取得省级以上技能大赛获奖数（项）</w:t>
            </w:r>
          </w:p>
        </w:tc>
        <w:tc>
          <w:tcPr>
            <w:tcW w:w="1065" w:type="dxa"/>
            <w:noWrap w:val="0"/>
            <w:vAlign w:val="center"/>
          </w:tcPr>
          <w:p>
            <w:pPr>
              <w:widowControl/>
              <w:spacing w:line="360" w:lineRule="auto"/>
              <w:jc w:val="center"/>
              <w:rPr>
                <w:kern w:val="0"/>
                <w:szCs w:val="21"/>
                <w:lang w:bidi="ar"/>
              </w:rPr>
            </w:pPr>
            <w:r>
              <w:rPr>
                <w:kern w:val="0"/>
                <w:szCs w:val="21"/>
                <w:lang w:bidi="ar"/>
              </w:rPr>
              <w:t>66</w:t>
            </w:r>
          </w:p>
        </w:tc>
        <w:tc>
          <w:tcPr>
            <w:tcW w:w="915" w:type="dxa"/>
            <w:noWrap w:val="0"/>
            <w:vAlign w:val="center"/>
          </w:tcPr>
          <w:p>
            <w:pPr>
              <w:widowControl/>
              <w:spacing w:line="360" w:lineRule="auto"/>
              <w:jc w:val="center"/>
              <w:rPr>
                <w:kern w:val="0"/>
                <w:szCs w:val="21"/>
                <w:lang w:bidi="ar"/>
              </w:rPr>
            </w:pPr>
            <w:r>
              <w:rPr>
                <w:kern w:val="0"/>
                <w:szCs w:val="21"/>
                <w:lang w:bidi="ar"/>
              </w:rPr>
              <w:t>26</w:t>
            </w:r>
          </w:p>
        </w:tc>
        <w:tc>
          <w:tcPr>
            <w:tcW w:w="1110" w:type="dxa"/>
            <w:noWrap w:val="0"/>
            <w:vAlign w:val="center"/>
          </w:tcPr>
          <w:p>
            <w:pPr>
              <w:widowControl/>
              <w:spacing w:line="360" w:lineRule="auto"/>
              <w:jc w:val="center"/>
              <w:rPr>
                <w:kern w:val="0"/>
                <w:szCs w:val="21"/>
                <w:lang w:bidi="ar"/>
              </w:rPr>
            </w:pPr>
            <w:r>
              <w:rPr>
                <w:kern w:val="0"/>
                <w:szCs w:val="21"/>
                <w:lang w:bidi="ar"/>
              </w:rPr>
              <w:t>32.5</w:t>
            </w:r>
          </w:p>
        </w:tc>
        <w:tc>
          <w:tcPr>
            <w:tcW w:w="908" w:type="dxa"/>
            <w:noWrap w:val="0"/>
            <w:vAlign w:val="center"/>
          </w:tcPr>
          <w:p>
            <w:pPr>
              <w:widowControl/>
              <w:spacing w:line="360" w:lineRule="auto"/>
              <w:jc w:val="center"/>
              <w:rPr>
                <w:kern w:val="0"/>
                <w:szCs w:val="21"/>
                <w:lang w:bidi="ar"/>
              </w:rPr>
            </w:pPr>
            <w:r>
              <w:rPr>
                <w:kern w:val="0"/>
                <w:szCs w:val="21"/>
                <w:lang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本校相对其他院校的增减量（项）</w:t>
            </w:r>
          </w:p>
        </w:tc>
        <w:tc>
          <w:tcPr>
            <w:tcW w:w="1065" w:type="dxa"/>
            <w:noWrap w:val="0"/>
            <w:vAlign w:val="center"/>
          </w:tcPr>
          <w:p>
            <w:pPr>
              <w:widowControl/>
              <w:spacing w:line="360" w:lineRule="auto"/>
              <w:jc w:val="center"/>
              <w:rPr>
                <w:kern w:val="0"/>
                <w:szCs w:val="21"/>
                <w:lang w:bidi="ar"/>
              </w:rPr>
            </w:pPr>
            <w:r>
              <w:rPr>
                <w:rFonts w:hint="eastAsia"/>
                <w:kern w:val="0"/>
                <w:szCs w:val="21"/>
                <w:lang w:bidi="ar"/>
              </w:rPr>
              <w:t>0</w:t>
            </w:r>
          </w:p>
        </w:tc>
        <w:tc>
          <w:tcPr>
            <w:tcW w:w="915" w:type="dxa"/>
            <w:noWrap w:val="0"/>
            <w:vAlign w:val="center"/>
          </w:tcPr>
          <w:p>
            <w:pPr>
              <w:widowControl/>
              <w:spacing w:line="360" w:lineRule="auto"/>
              <w:jc w:val="center"/>
              <w:rPr>
                <w:kern w:val="0"/>
                <w:szCs w:val="21"/>
                <w:lang w:bidi="ar"/>
              </w:rPr>
            </w:pPr>
            <w:r>
              <w:rPr>
                <w:rFonts w:hint="eastAsia"/>
                <w:kern w:val="0"/>
                <w:szCs w:val="21"/>
                <w:lang w:bidi="ar"/>
              </w:rPr>
              <w:t>+153.85</w:t>
            </w:r>
          </w:p>
        </w:tc>
        <w:tc>
          <w:tcPr>
            <w:tcW w:w="1110" w:type="dxa"/>
            <w:noWrap w:val="0"/>
            <w:vAlign w:val="center"/>
          </w:tcPr>
          <w:p>
            <w:pPr>
              <w:widowControl/>
              <w:spacing w:line="360" w:lineRule="auto"/>
              <w:jc w:val="center"/>
              <w:rPr>
                <w:kern w:val="0"/>
                <w:szCs w:val="21"/>
                <w:lang w:bidi="ar"/>
              </w:rPr>
            </w:pPr>
            <w:r>
              <w:rPr>
                <w:rFonts w:hint="eastAsia"/>
                <w:kern w:val="0"/>
                <w:szCs w:val="21"/>
                <w:lang w:bidi="ar"/>
              </w:rPr>
              <w:t>+103.08</w:t>
            </w:r>
          </w:p>
        </w:tc>
        <w:tc>
          <w:tcPr>
            <w:tcW w:w="908" w:type="dxa"/>
            <w:noWrap w:val="0"/>
            <w:vAlign w:val="center"/>
          </w:tcPr>
          <w:p>
            <w:pPr>
              <w:widowControl/>
              <w:spacing w:line="360" w:lineRule="auto"/>
              <w:jc w:val="center"/>
              <w:rPr>
                <w:kern w:val="0"/>
                <w:szCs w:val="21"/>
                <w:lang w:bidi="ar"/>
              </w:rPr>
            </w:pPr>
            <w:r>
              <w:rPr>
                <w:rFonts w:hint="eastAsia"/>
                <w:kern w:val="0"/>
                <w:szCs w:val="21"/>
                <w:lang w:bidi="ar"/>
              </w:rPr>
              <w:t>+123.73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学生取得省级及以上科技文化作品获奖数（项）</w:t>
            </w:r>
          </w:p>
        </w:tc>
        <w:tc>
          <w:tcPr>
            <w:tcW w:w="1065" w:type="dxa"/>
            <w:noWrap w:val="0"/>
            <w:vAlign w:val="center"/>
          </w:tcPr>
          <w:p>
            <w:pPr>
              <w:widowControl/>
              <w:spacing w:line="360" w:lineRule="auto"/>
              <w:jc w:val="center"/>
              <w:rPr>
                <w:kern w:val="0"/>
                <w:szCs w:val="21"/>
                <w:lang w:bidi="ar"/>
              </w:rPr>
            </w:pPr>
            <w:r>
              <w:rPr>
                <w:kern w:val="0"/>
                <w:szCs w:val="21"/>
                <w:lang w:bidi="ar"/>
              </w:rPr>
              <w:t>8</w:t>
            </w:r>
          </w:p>
        </w:tc>
        <w:tc>
          <w:tcPr>
            <w:tcW w:w="915" w:type="dxa"/>
            <w:noWrap w:val="0"/>
            <w:vAlign w:val="center"/>
          </w:tcPr>
          <w:p>
            <w:pPr>
              <w:widowControl/>
              <w:spacing w:line="360" w:lineRule="auto"/>
              <w:jc w:val="center"/>
              <w:rPr>
                <w:kern w:val="0"/>
                <w:szCs w:val="21"/>
                <w:lang w:bidi="ar"/>
              </w:rPr>
            </w:pPr>
            <w:r>
              <w:rPr>
                <w:kern w:val="0"/>
                <w:szCs w:val="21"/>
                <w:lang w:bidi="ar"/>
              </w:rPr>
              <w:t>1</w:t>
            </w:r>
          </w:p>
        </w:tc>
        <w:tc>
          <w:tcPr>
            <w:tcW w:w="1110" w:type="dxa"/>
            <w:noWrap w:val="0"/>
            <w:vAlign w:val="center"/>
          </w:tcPr>
          <w:p>
            <w:pPr>
              <w:widowControl/>
              <w:spacing w:line="360" w:lineRule="auto"/>
              <w:jc w:val="center"/>
              <w:rPr>
                <w:kern w:val="0"/>
                <w:szCs w:val="21"/>
                <w:lang w:bidi="ar"/>
              </w:rPr>
            </w:pPr>
            <w:r>
              <w:rPr>
                <w:kern w:val="0"/>
                <w:szCs w:val="21"/>
                <w:lang w:bidi="ar"/>
              </w:rPr>
              <w:t>1</w:t>
            </w:r>
          </w:p>
        </w:tc>
        <w:tc>
          <w:tcPr>
            <w:tcW w:w="908" w:type="dxa"/>
            <w:noWrap w:val="0"/>
            <w:vAlign w:val="center"/>
          </w:tcPr>
          <w:p>
            <w:pPr>
              <w:widowControl/>
              <w:spacing w:line="360" w:lineRule="auto"/>
              <w:jc w:val="center"/>
              <w:rPr>
                <w:kern w:val="0"/>
                <w:szCs w:val="21"/>
                <w:lang w:bidi="ar"/>
              </w:rPr>
            </w:pPr>
            <w:r>
              <w:rPr>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本校相对其他院校的增减量（项）</w:t>
            </w:r>
          </w:p>
        </w:tc>
        <w:tc>
          <w:tcPr>
            <w:tcW w:w="1065" w:type="dxa"/>
            <w:noWrap w:val="0"/>
            <w:vAlign w:val="center"/>
          </w:tcPr>
          <w:p>
            <w:pPr>
              <w:widowControl/>
              <w:spacing w:line="360" w:lineRule="auto"/>
              <w:jc w:val="center"/>
              <w:rPr>
                <w:kern w:val="0"/>
                <w:szCs w:val="21"/>
                <w:lang w:bidi="ar"/>
              </w:rPr>
            </w:pPr>
            <w:r>
              <w:rPr>
                <w:rFonts w:hint="eastAsia"/>
                <w:kern w:val="0"/>
                <w:szCs w:val="21"/>
                <w:lang w:bidi="ar"/>
              </w:rPr>
              <w:t>0</w:t>
            </w:r>
          </w:p>
        </w:tc>
        <w:tc>
          <w:tcPr>
            <w:tcW w:w="915" w:type="dxa"/>
            <w:noWrap w:val="0"/>
            <w:vAlign w:val="center"/>
          </w:tcPr>
          <w:p>
            <w:pPr>
              <w:widowControl/>
              <w:spacing w:line="360" w:lineRule="auto"/>
              <w:jc w:val="center"/>
              <w:rPr>
                <w:kern w:val="0"/>
                <w:szCs w:val="21"/>
                <w:lang w:bidi="ar"/>
              </w:rPr>
            </w:pPr>
            <w:r>
              <w:rPr>
                <w:rFonts w:hint="eastAsia"/>
                <w:kern w:val="0"/>
                <w:szCs w:val="21"/>
                <w:lang w:bidi="ar"/>
              </w:rPr>
              <w:t>+700</w:t>
            </w:r>
          </w:p>
        </w:tc>
        <w:tc>
          <w:tcPr>
            <w:tcW w:w="1110" w:type="dxa"/>
            <w:noWrap w:val="0"/>
            <w:vAlign w:val="center"/>
          </w:tcPr>
          <w:p>
            <w:pPr>
              <w:widowControl/>
              <w:spacing w:line="360" w:lineRule="auto"/>
              <w:jc w:val="center"/>
              <w:rPr>
                <w:kern w:val="0"/>
                <w:szCs w:val="21"/>
                <w:lang w:bidi="ar"/>
              </w:rPr>
            </w:pPr>
            <w:r>
              <w:rPr>
                <w:rFonts w:hint="eastAsia"/>
                <w:kern w:val="0"/>
                <w:szCs w:val="21"/>
                <w:lang w:bidi="ar"/>
              </w:rPr>
              <w:t>+700</w:t>
            </w:r>
          </w:p>
        </w:tc>
        <w:tc>
          <w:tcPr>
            <w:tcW w:w="908" w:type="dxa"/>
            <w:noWrap w:val="0"/>
            <w:vAlign w:val="center"/>
          </w:tcPr>
          <w:p>
            <w:pPr>
              <w:widowControl/>
              <w:spacing w:line="360" w:lineRule="auto"/>
              <w:jc w:val="center"/>
              <w:rPr>
                <w:kern w:val="0"/>
                <w:szCs w:val="21"/>
                <w:lang w:bidi="ar"/>
              </w:rPr>
            </w:pPr>
            <w:r>
              <w:rPr>
                <w:rFonts w:hint="eastAsia"/>
                <w:kern w:val="0"/>
                <w:szCs w:val="21"/>
                <w:lang w:bidi="ar"/>
              </w:rPr>
              <w:t>+800</w:t>
            </w:r>
          </w:p>
        </w:tc>
      </w:tr>
    </w:tbl>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cs="宋体"/>
          <w:color w:val="C00000"/>
          <w:kern w:val="0"/>
          <w:sz w:val="21"/>
          <w:szCs w:val="21"/>
          <w:lang w:bidi="ar"/>
        </w:rPr>
      </w:pPr>
      <w:bookmarkStart w:id="32" w:name="_Toc25107"/>
      <w:r>
        <w:rPr>
          <w:rFonts w:hint="eastAsia" w:ascii="宋体" w:hAnsi="宋体" w:cs="宋体"/>
          <w:b/>
          <w:bCs/>
          <w:color w:val="000000"/>
          <w:kern w:val="0"/>
          <w:sz w:val="28"/>
          <w:szCs w:val="28"/>
          <w:lang w:bidi="ar"/>
        </w:rPr>
        <w:t>（二）毕业生</w:t>
      </w:r>
      <w:r>
        <w:rPr>
          <w:rFonts w:hint="eastAsia" w:ascii="宋体" w:hAnsi="宋体" w:cs="宋体"/>
          <w:b/>
          <w:bCs/>
          <w:color w:val="000000"/>
          <w:kern w:val="0"/>
          <w:sz w:val="28"/>
          <w:szCs w:val="28"/>
          <w:lang w:eastAsia="zh-CN" w:bidi="ar"/>
        </w:rPr>
        <w:t>的高质量</w:t>
      </w:r>
      <w:r>
        <w:rPr>
          <w:rFonts w:hint="eastAsia" w:ascii="宋体" w:hAnsi="宋体" w:cs="宋体"/>
          <w:b/>
          <w:bCs/>
          <w:color w:val="000000"/>
          <w:kern w:val="0"/>
          <w:sz w:val="28"/>
          <w:szCs w:val="28"/>
          <w:lang w:bidi="ar"/>
        </w:rPr>
        <w:t>就业情况</w:t>
      </w:r>
      <w:bookmarkEnd w:id="32"/>
    </w:p>
    <w:p>
      <w:pPr>
        <w:widowControl/>
        <w:spacing w:line="360" w:lineRule="auto"/>
        <w:ind w:firstLine="590" w:firstLineChars="245"/>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表19  2019 年学校毕业生就业情况</w:t>
      </w:r>
    </w:p>
    <w:tbl>
      <w:tblPr>
        <w:tblStyle w:val="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4"/>
        <w:gridCol w:w="1170"/>
        <w:gridCol w:w="102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94"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170"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025"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609"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94"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毕业生就业率（%）</w:t>
            </w:r>
          </w:p>
        </w:tc>
        <w:tc>
          <w:tcPr>
            <w:tcW w:w="1170" w:type="dxa"/>
            <w:noWrap w:val="0"/>
            <w:vAlign w:val="center"/>
          </w:tcPr>
          <w:p>
            <w:pPr>
              <w:widowControl/>
              <w:spacing w:line="360" w:lineRule="auto"/>
              <w:jc w:val="center"/>
              <w:rPr>
                <w:kern w:val="0"/>
                <w:szCs w:val="21"/>
                <w:lang w:bidi="ar"/>
              </w:rPr>
            </w:pPr>
            <w:r>
              <w:rPr>
                <w:rFonts w:hint="eastAsia"/>
                <w:kern w:val="0"/>
                <w:szCs w:val="21"/>
                <w:lang w:bidi="ar"/>
              </w:rPr>
              <w:t>97.55</w:t>
            </w:r>
          </w:p>
        </w:tc>
        <w:tc>
          <w:tcPr>
            <w:tcW w:w="1025" w:type="dxa"/>
            <w:noWrap w:val="0"/>
            <w:vAlign w:val="center"/>
          </w:tcPr>
          <w:p>
            <w:pPr>
              <w:widowControl/>
              <w:spacing w:line="360" w:lineRule="auto"/>
              <w:jc w:val="center"/>
              <w:rPr>
                <w:kern w:val="0"/>
                <w:szCs w:val="21"/>
                <w:lang w:bidi="ar"/>
              </w:rPr>
            </w:pPr>
            <w:r>
              <w:rPr>
                <w:rFonts w:hint="eastAsia"/>
                <w:kern w:val="0"/>
                <w:szCs w:val="21"/>
                <w:lang w:bidi="ar"/>
              </w:rPr>
              <w:t>90.67</w:t>
            </w:r>
          </w:p>
        </w:tc>
        <w:tc>
          <w:tcPr>
            <w:tcW w:w="1609" w:type="dxa"/>
            <w:noWrap w:val="0"/>
            <w:vAlign w:val="center"/>
          </w:tcPr>
          <w:p>
            <w:pPr>
              <w:widowControl/>
              <w:spacing w:line="360" w:lineRule="auto"/>
              <w:jc w:val="center"/>
              <w:rPr>
                <w:kern w:val="0"/>
                <w:szCs w:val="21"/>
                <w:lang w:bidi="ar"/>
              </w:rPr>
            </w:pPr>
            <w:r>
              <w:rPr>
                <w:rFonts w:hint="eastAsia"/>
                <w:kern w:val="0"/>
                <w:szCs w:val="21"/>
                <w:lang w:bidi="ar"/>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94" w:type="dxa"/>
            <w:noWrap w:val="0"/>
            <w:vAlign w:val="top"/>
          </w:tcPr>
          <w:p>
            <w:pPr>
              <w:widowControl/>
              <w:spacing w:line="360" w:lineRule="auto"/>
              <w:jc w:val="left"/>
              <w:rPr>
                <w:rFonts w:ascii="宋体" w:hAnsi="宋体" w:cs="宋体"/>
                <w:kern w:val="0"/>
                <w:szCs w:val="21"/>
                <w:lang w:bidi="ar"/>
              </w:rPr>
            </w:pPr>
            <w:r>
              <w:rPr>
                <w:rFonts w:hint="eastAsia" w:ascii="宋体" w:hAnsi="宋体" w:cs="宋体"/>
                <w:kern w:val="0"/>
                <w:szCs w:val="21"/>
                <w:lang w:bidi="ar"/>
              </w:rPr>
              <w:t>毕业生直接就业率（%）</w:t>
            </w:r>
          </w:p>
        </w:tc>
        <w:tc>
          <w:tcPr>
            <w:tcW w:w="1170" w:type="dxa"/>
            <w:noWrap w:val="0"/>
            <w:vAlign w:val="center"/>
          </w:tcPr>
          <w:p>
            <w:pPr>
              <w:widowControl/>
              <w:spacing w:line="360" w:lineRule="auto"/>
              <w:jc w:val="center"/>
              <w:rPr>
                <w:kern w:val="0"/>
                <w:szCs w:val="21"/>
                <w:lang w:bidi="ar"/>
              </w:rPr>
            </w:pPr>
            <w:r>
              <w:rPr>
                <w:rFonts w:hint="eastAsia"/>
                <w:kern w:val="0"/>
                <w:szCs w:val="21"/>
                <w:lang w:bidi="ar"/>
              </w:rPr>
              <w:t>97.55</w:t>
            </w:r>
          </w:p>
        </w:tc>
        <w:tc>
          <w:tcPr>
            <w:tcW w:w="1025" w:type="dxa"/>
            <w:noWrap w:val="0"/>
            <w:vAlign w:val="center"/>
          </w:tcPr>
          <w:p>
            <w:pPr>
              <w:widowControl/>
              <w:spacing w:line="360" w:lineRule="auto"/>
              <w:jc w:val="center"/>
              <w:rPr>
                <w:kern w:val="0"/>
                <w:szCs w:val="21"/>
                <w:lang w:bidi="ar"/>
              </w:rPr>
            </w:pPr>
            <w:r>
              <w:rPr>
                <w:rFonts w:hint="eastAsia"/>
                <w:kern w:val="0"/>
                <w:szCs w:val="21"/>
                <w:lang w:bidi="ar"/>
              </w:rPr>
              <w:t>90.67</w:t>
            </w:r>
          </w:p>
        </w:tc>
        <w:tc>
          <w:tcPr>
            <w:tcW w:w="1609" w:type="dxa"/>
            <w:noWrap w:val="0"/>
            <w:vAlign w:val="center"/>
          </w:tcPr>
          <w:p>
            <w:pPr>
              <w:widowControl/>
              <w:spacing w:line="360" w:lineRule="auto"/>
              <w:jc w:val="center"/>
              <w:rPr>
                <w:kern w:val="0"/>
                <w:szCs w:val="21"/>
                <w:lang w:bidi="ar"/>
              </w:rPr>
            </w:pPr>
            <w:r>
              <w:rPr>
                <w:rFonts w:hint="eastAsia"/>
                <w:kern w:val="0"/>
                <w:szCs w:val="21"/>
                <w:lang w:bidi="ar"/>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94" w:type="dxa"/>
            <w:noWrap w:val="0"/>
            <w:vAlign w:val="top"/>
          </w:tcPr>
          <w:p>
            <w:pPr>
              <w:widowControl/>
              <w:spacing w:line="360" w:lineRule="auto"/>
              <w:jc w:val="left"/>
              <w:rPr>
                <w:rFonts w:ascii="宋体" w:hAnsi="宋体" w:cs="宋体"/>
                <w:kern w:val="0"/>
                <w:szCs w:val="21"/>
                <w:lang w:bidi="ar"/>
              </w:rPr>
            </w:pPr>
            <w:r>
              <w:rPr>
                <w:rFonts w:hint="eastAsia" w:ascii="宋体" w:hAnsi="宋体" w:cs="宋体"/>
                <w:kern w:val="0"/>
                <w:szCs w:val="21"/>
                <w:lang w:bidi="ar"/>
              </w:rPr>
              <w:t>毕业生当地就业的比例（%）</w:t>
            </w:r>
          </w:p>
        </w:tc>
        <w:tc>
          <w:tcPr>
            <w:tcW w:w="1170" w:type="dxa"/>
            <w:noWrap w:val="0"/>
            <w:vAlign w:val="center"/>
          </w:tcPr>
          <w:p>
            <w:pPr>
              <w:widowControl/>
              <w:spacing w:line="360" w:lineRule="auto"/>
              <w:jc w:val="center"/>
              <w:rPr>
                <w:rFonts w:hint="eastAsia"/>
                <w:kern w:val="0"/>
                <w:szCs w:val="21"/>
                <w:lang w:bidi="ar"/>
              </w:rPr>
            </w:pPr>
            <w:r>
              <w:rPr>
                <w:rFonts w:hint="eastAsia"/>
                <w:kern w:val="0"/>
                <w:szCs w:val="21"/>
                <w:lang w:bidi="ar"/>
              </w:rPr>
              <w:t>92.26</w:t>
            </w:r>
          </w:p>
        </w:tc>
        <w:tc>
          <w:tcPr>
            <w:tcW w:w="1025" w:type="dxa"/>
            <w:noWrap w:val="0"/>
            <w:vAlign w:val="center"/>
          </w:tcPr>
          <w:p>
            <w:pPr>
              <w:widowControl/>
              <w:spacing w:line="360" w:lineRule="auto"/>
              <w:jc w:val="center"/>
              <w:rPr>
                <w:kern w:val="0"/>
                <w:szCs w:val="21"/>
                <w:lang w:bidi="ar"/>
              </w:rPr>
            </w:pPr>
            <w:r>
              <w:rPr>
                <w:rFonts w:hint="eastAsia"/>
                <w:kern w:val="0"/>
                <w:szCs w:val="21"/>
                <w:lang w:bidi="ar"/>
              </w:rPr>
              <w:t>81.95</w:t>
            </w:r>
          </w:p>
        </w:tc>
        <w:tc>
          <w:tcPr>
            <w:tcW w:w="1609" w:type="dxa"/>
            <w:noWrap w:val="0"/>
            <w:vAlign w:val="center"/>
          </w:tcPr>
          <w:p>
            <w:pPr>
              <w:widowControl/>
              <w:spacing w:line="360" w:lineRule="auto"/>
              <w:jc w:val="center"/>
              <w:rPr>
                <w:kern w:val="0"/>
                <w:szCs w:val="21"/>
                <w:lang w:bidi="ar"/>
              </w:rPr>
            </w:pPr>
            <w:r>
              <w:rPr>
                <w:rFonts w:hint="eastAsia"/>
                <w:kern w:val="0"/>
                <w:szCs w:val="21"/>
                <w:lang w:bidi="ar"/>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94" w:type="dxa"/>
            <w:noWrap w:val="0"/>
            <w:vAlign w:val="top"/>
          </w:tcPr>
          <w:p>
            <w:pPr>
              <w:widowControl/>
              <w:spacing w:line="360" w:lineRule="auto"/>
              <w:jc w:val="left"/>
              <w:rPr>
                <w:rFonts w:ascii="宋体" w:hAnsi="宋体" w:cs="宋体"/>
                <w:kern w:val="0"/>
                <w:szCs w:val="21"/>
                <w:lang w:bidi="ar"/>
              </w:rPr>
            </w:pPr>
            <w:r>
              <w:rPr>
                <w:rFonts w:hint="eastAsia" w:ascii="宋体" w:hAnsi="宋体" w:cs="宋体"/>
                <w:kern w:val="0"/>
                <w:szCs w:val="21"/>
                <w:lang w:bidi="ar"/>
              </w:rPr>
              <w:t>毕业生到中小微企业基层服务的比例（%）</w:t>
            </w:r>
          </w:p>
        </w:tc>
        <w:tc>
          <w:tcPr>
            <w:tcW w:w="1170" w:type="dxa"/>
            <w:noWrap w:val="0"/>
            <w:vAlign w:val="center"/>
          </w:tcPr>
          <w:p>
            <w:pPr>
              <w:widowControl/>
              <w:spacing w:line="360" w:lineRule="auto"/>
              <w:jc w:val="center"/>
              <w:rPr>
                <w:rFonts w:hint="eastAsia"/>
                <w:kern w:val="0"/>
                <w:szCs w:val="21"/>
                <w:lang w:bidi="ar"/>
              </w:rPr>
            </w:pPr>
            <w:r>
              <w:rPr>
                <w:rFonts w:hint="eastAsia"/>
                <w:kern w:val="0"/>
                <w:szCs w:val="21"/>
                <w:lang w:bidi="ar"/>
              </w:rPr>
              <w:t>91.66</w:t>
            </w:r>
          </w:p>
        </w:tc>
        <w:tc>
          <w:tcPr>
            <w:tcW w:w="1025" w:type="dxa"/>
            <w:noWrap w:val="0"/>
            <w:vAlign w:val="center"/>
          </w:tcPr>
          <w:p>
            <w:pPr>
              <w:widowControl/>
              <w:spacing w:line="360" w:lineRule="auto"/>
              <w:jc w:val="center"/>
              <w:rPr>
                <w:kern w:val="0"/>
                <w:szCs w:val="21"/>
                <w:lang w:bidi="ar"/>
              </w:rPr>
            </w:pPr>
            <w:r>
              <w:rPr>
                <w:rFonts w:hint="eastAsia"/>
                <w:kern w:val="0"/>
                <w:szCs w:val="21"/>
                <w:lang w:bidi="ar"/>
              </w:rPr>
              <w:t>82.78</w:t>
            </w:r>
          </w:p>
        </w:tc>
        <w:tc>
          <w:tcPr>
            <w:tcW w:w="1609" w:type="dxa"/>
            <w:noWrap w:val="0"/>
            <w:vAlign w:val="center"/>
          </w:tcPr>
          <w:p>
            <w:pPr>
              <w:widowControl/>
              <w:spacing w:line="360" w:lineRule="auto"/>
              <w:jc w:val="center"/>
              <w:rPr>
                <w:kern w:val="0"/>
                <w:szCs w:val="21"/>
                <w:lang w:bidi="ar"/>
              </w:rPr>
            </w:pPr>
            <w:r>
              <w:rPr>
                <w:rFonts w:hint="eastAsia"/>
                <w:kern w:val="0"/>
                <w:szCs w:val="21"/>
                <w:lang w:bidi="ar"/>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94"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毕业生到 500 强企业就业的比例（%）</w:t>
            </w:r>
          </w:p>
        </w:tc>
        <w:tc>
          <w:tcPr>
            <w:tcW w:w="1170" w:type="dxa"/>
            <w:noWrap w:val="0"/>
            <w:vAlign w:val="center"/>
          </w:tcPr>
          <w:p>
            <w:pPr>
              <w:widowControl/>
              <w:spacing w:line="360" w:lineRule="auto"/>
              <w:jc w:val="center"/>
              <w:rPr>
                <w:rFonts w:hint="eastAsia"/>
                <w:kern w:val="0"/>
                <w:szCs w:val="21"/>
                <w:lang w:bidi="ar"/>
              </w:rPr>
            </w:pPr>
            <w:r>
              <w:rPr>
                <w:rFonts w:hint="eastAsia"/>
                <w:kern w:val="0"/>
                <w:szCs w:val="21"/>
                <w:lang w:bidi="ar"/>
              </w:rPr>
              <w:t>1.67</w:t>
            </w:r>
          </w:p>
        </w:tc>
        <w:tc>
          <w:tcPr>
            <w:tcW w:w="1025" w:type="dxa"/>
            <w:noWrap w:val="0"/>
            <w:vAlign w:val="center"/>
          </w:tcPr>
          <w:p>
            <w:pPr>
              <w:widowControl/>
              <w:spacing w:line="360" w:lineRule="auto"/>
              <w:jc w:val="center"/>
              <w:rPr>
                <w:kern w:val="0"/>
                <w:szCs w:val="21"/>
                <w:lang w:bidi="ar"/>
              </w:rPr>
            </w:pPr>
            <w:r>
              <w:rPr>
                <w:rFonts w:hint="eastAsia"/>
                <w:kern w:val="0"/>
                <w:szCs w:val="21"/>
                <w:lang w:bidi="ar"/>
              </w:rPr>
              <w:t>3.1</w:t>
            </w:r>
          </w:p>
        </w:tc>
        <w:tc>
          <w:tcPr>
            <w:tcW w:w="1609" w:type="dxa"/>
            <w:noWrap w:val="0"/>
            <w:vAlign w:val="center"/>
          </w:tcPr>
          <w:p>
            <w:pPr>
              <w:widowControl/>
              <w:spacing w:line="360" w:lineRule="auto"/>
              <w:jc w:val="center"/>
              <w:rPr>
                <w:kern w:val="0"/>
                <w:szCs w:val="21"/>
                <w:lang w:bidi="ar"/>
              </w:rPr>
            </w:pPr>
            <w:r>
              <w:rPr>
                <w:rFonts w:hint="eastAsia"/>
                <w:kern w:val="0"/>
                <w:szCs w:val="21"/>
                <w:lang w:bidi="ar"/>
              </w:rPr>
              <w:t>+85.63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794"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从事工作与所学专业相关的毕业生所占比例（%）</w:t>
            </w:r>
          </w:p>
        </w:tc>
        <w:tc>
          <w:tcPr>
            <w:tcW w:w="1170" w:type="dxa"/>
            <w:noWrap w:val="0"/>
            <w:vAlign w:val="center"/>
          </w:tcPr>
          <w:p>
            <w:pPr>
              <w:widowControl/>
              <w:spacing w:line="360" w:lineRule="auto"/>
              <w:jc w:val="center"/>
              <w:rPr>
                <w:rFonts w:hint="default" w:eastAsia="宋体"/>
                <w:kern w:val="0"/>
                <w:szCs w:val="21"/>
                <w:lang w:val="en-US" w:eastAsia="zh-CN" w:bidi="ar"/>
              </w:rPr>
            </w:pPr>
            <w:r>
              <w:rPr>
                <w:rFonts w:hint="eastAsia"/>
                <w:kern w:val="0"/>
                <w:szCs w:val="21"/>
                <w:lang w:val="en-US" w:eastAsia="zh-CN" w:bidi="ar"/>
              </w:rPr>
              <w:t>87.11</w:t>
            </w:r>
          </w:p>
        </w:tc>
        <w:tc>
          <w:tcPr>
            <w:tcW w:w="1025" w:type="dxa"/>
            <w:noWrap w:val="0"/>
            <w:vAlign w:val="center"/>
          </w:tcPr>
          <w:p>
            <w:pPr>
              <w:widowControl/>
              <w:spacing w:line="360" w:lineRule="auto"/>
              <w:jc w:val="center"/>
              <w:rPr>
                <w:rFonts w:hint="default"/>
                <w:kern w:val="0"/>
                <w:szCs w:val="21"/>
                <w:lang w:val="en-US" w:eastAsia="zh-CN" w:bidi="ar"/>
              </w:rPr>
            </w:pPr>
            <w:r>
              <w:rPr>
                <w:rFonts w:hint="eastAsia"/>
                <w:kern w:val="0"/>
                <w:szCs w:val="21"/>
                <w:lang w:val="en-US" w:eastAsia="zh-CN" w:bidi="ar"/>
              </w:rPr>
              <w:t>55.11</w:t>
            </w:r>
          </w:p>
        </w:tc>
        <w:tc>
          <w:tcPr>
            <w:tcW w:w="1609" w:type="dxa"/>
            <w:noWrap w:val="0"/>
            <w:vAlign w:val="center"/>
          </w:tcPr>
          <w:p>
            <w:pPr>
              <w:widowControl/>
              <w:spacing w:line="360" w:lineRule="auto"/>
              <w:jc w:val="center"/>
              <w:rPr>
                <w:rFonts w:hint="default" w:eastAsia="宋体"/>
                <w:kern w:val="0"/>
                <w:szCs w:val="21"/>
                <w:lang w:val="en-US" w:eastAsia="zh-CN" w:bidi="ar"/>
              </w:rPr>
            </w:pPr>
            <w:r>
              <w:rPr>
                <w:rFonts w:hint="eastAsia"/>
                <w:kern w:val="0"/>
                <w:szCs w:val="21"/>
                <w:lang w:bidi="ar"/>
              </w:rPr>
              <w:t>-</w:t>
            </w:r>
            <w:r>
              <w:rPr>
                <w:rFonts w:hint="eastAsia"/>
                <w:kern w:val="0"/>
                <w:szCs w:val="21"/>
                <w:lang w:val="en-US" w:eastAsia="zh-CN" w:bidi="ar"/>
              </w:rPr>
              <w:t>36.73</w:t>
            </w:r>
          </w:p>
        </w:tc>
      </w:tr>
    </w:tbl>
    <w:p>
      <w:pPr>
        <w:widowControl/>
        <w:spacing w:line="360" w:lineRule="auto"/>
        <w:jc w:val="both"/>
        <w:rPr>
          <w:rFonts w:hint="default" w:ascii="宋体" w:hAnsi="宋体" w:eastAsia="宋体" w:cs="宋体"/>
          <w:b w:val="0"/>
          <w:bCs/>
          <w:color w:val="000000"/>
          <w:kern w:val="0"/>
          <w:sz w:val="18"/>
          <w:szCs w:val="18"/>
          <w:lang w:val="en-US" w:eastAsia="zh-CN" w:bidi="ar"/>
        </w:rPr>
      </w:pPr>
      <w:r>
        <w:rPr>
          <w:rFonts w:hint="eastAsia" w:ascii="宋体" w:hAnsi="宋体" w:cs="宋体"/>
          <w:b w:val="0"/>
          <w:bCs/>
          <w:color w:val="000000"/>
          <w:kern w:val="0"/>
          <w:sz w:val="18"/>
          <w:szCs w:val="18"/>
          <w:lang w:eastAsia="zh-CN" w:bidi="ar"/>
        </w:rPr>
        <w:t>备注：本表内数据截止</w:t>
      </w:r>
      <w:r>
        <w:rPr>
          <w:rFonts w:hint="eastAsia" w:ascii="宋体" w:hAnsi="宋体" w:cs="宋体"/>
          <w:b w:val="0"/>
          <w:bCs/>
          <w:color w:val="000000"/>
          <w:kern w:val="0"/>
          <w:sz w:val="18"/>
          <w:szCs w:val="18"/>
          <w:lang w:val="en-US" w:eastAsia="zh-CN" w:bidi="ar"/>
        </w:rPr>
        <w:t>9月1日</w:t>
      </w:r>
    </w:p>
    <w:p>
      <w:pPr>
        <w:widowControl/>
        <w:spacing w:line="360" w:lineRule="auto"/>
        <w:jc w:val="center"/>
        <w:rPr>
          <w:rFonts w:hint="eastAsia" w:ascii="宋体" w:hAnsi="宋体" w:cs="宋体"/>
          <w:b/>
          <w:color w:val="000000"/>
          <w:kern w:val="0"/>
          <w:sz w:val="24"/>
          <w:szCs w:val="24"/>
          <w:lang w:bidi="ar"/>
        </w:rPr>
      </w:pPr>
    </w:p>
    <w:p>
      <w:pPr>
        <w:widowControl/>
        <w:spacing w:line="360" w:lineRule="auto"/>
        <w:jc w:val="center"/>
        <w:rPr>
          <w:rFonts w:hint="eastAsia" w:ascii="宋体" w:hAnsi="宋体" w:eastAsia="宋体" w:cs="宋体"/>
          <w:b/>
          <w:color w:val="000000"/>
          <w:kern w:val="0"/>
          <w:sz w:val="28"/>
          <w:szCs w:val="28"/>
          <w:lang w:val="en-US" w:eastAsia="zh-CN" w:bidi="ar"/>
        </w:rPr>
      </w:pPr>
      <w:r>
        <w:rPr>
          <w:rFonts w:hint="eastAsia" w:ascii="宋体" w:hAnsi="宋体" w:cs="宋体"/>
          <w:b/>
          <w:color w:val="000000"/>
          <w:kern w:val="0"/>
          <w:sz w:val="24"/>
          <w:szCs w:val="24"/>
          <w:lang w:bidi="ar"/>
        </w:rPr>
        <w:t>表20  2019 年学校毕业生就业比例与全国同类院校比较</w:t>
      </w:r>
      <w:r>
        <w:rPr>
          <w:rFonts w:hint="eastAsia" w:ascii="宋体" w:hAnsi="宋体" w:cs="宋体"/>
          <w:b/>
          <w:color w:val="000000"/>
          <w:kern w:val="0"/>
          <w:sz w:val="24"/>
          <w:szCs w:val="24"/>
          <w:lang w:val="en-US" w:eastAsia="zh-CN" w:bidi="ar"/>
        </w:rPr>
        <w:t>分析</w:t>
      </w:r>
    </w:p>
    <w:tbl>
      <w:tblPr>
        <w:tblStyle w:val="11"/>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3"/>
        <w:gridCol w:w="1167"/>
        <w:gridCol w:w="1135"/>
        <w:gridCol w:w="119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803" w:type="dxa"/>
            <w:noWrap w:val="0"/>
            <w:vAlign w:val="top"/>
          </w:tcPr>
          <w:p>
            <w:pPr>
              <w:widowControl/>
              <w:ind w:firstLine="2294" w:firstLineChars="10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15875</wp:posOffset>
                      </wp:positionV>
                      <wp:extent cx="2322830" cy="356235"/>
                      <wp:effectExtent l="635" t="4445" r="635" b="20320"/>
                      <wp:wrapNone/>
                      <wp:docPr id="10" name="直接箭头连接符 10"/>
                      <wp:cNvGraphicFramePr/>
                      <a:graphic xmlns:a="http://schemas.openxmlformats.org/drawingml/2006/main">
                        <a:graphicData uri="http://schemas.microsoft.com/office/word/2010/wordprocessingShape">
                          <wps:wsp>
                            <wps:cNvCnPr/>
                            <wps:spPr>
                              <a:xfrm>
                                <a:off x="0" y="0"/>
                                <a:ext cx="2322830" cy="3562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1.25pt;height:28.05pt;width:182.9pt;z-index:251666432;mso-width-relative:page;mso-height-relative:page;" filled="f" stroked="t" coordsize="21600,21600" o:gfxdata="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KOZS1gAA&#10;AAcBAAAPAAAAAAAAAAEAIAAAACIAAABkcnMvZG93bnJldi54bWxQSwECFAAUAAAACACHTuJAYLiJ&#10;SecBAAClAwAADgAAAAAAAAABACAAAAAlAQAAZHJzL2Uyb0RvYy54bWxQSwUGAAAAAAYABgBZAQAA&#10;fgU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16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学校</w:t>
            </w:r>
          </w:p>
          <w:p>
            <w:pPr>
              <w:widowControl/>
              <w:jc w:val="center"/>
              <w:rPr>
                <w:rFonts w:hint="eastAsia" w:ascii="宋体" w:hAnsi="宋体" w:cs="宋体"/>
                <w:b/>
                <w:kern w:val="0"/>
                <w:szCs w:val="21"/>
                <w:lang w:bidi="ar"/>
              </w:rPr>
            </w:pPr>
            <w:r>
              <w:rPr>
                <w:rFonts w:hint="eastAsia" w:ascii="宋体" w:hAnsi="宋体" w:cs="宋体"/>
                <w:b/>
                <w:kern w:val="0"/>
                <w:szCs w:val="21"/>
                <w:lang w:bidi="ar"/>
              </w:rPr>
              <w:t>指标值</w:t>
            </w:r>
          </w:p>
        </w:tc>
        <w:tc>
          <w:tcPr>
            <w:tcW w:w="113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19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337"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803"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（9 月1 日）就业毕业生比例（%）</w:t>
            </w:r>
          </w:p>
        </w:tc>
        <w:tc>
          <w:tcPr>
            <w:tcW w:w="1167" w:type="dxa"/>
            <w:noWrap w:val="0"/>
            <w:vAlign w:val="center"/>
          </w:tcPr>
          <w:p>
            <w:pPr>
              <w:widowControl/>
              <w:spacing w:line="360" w:lineRule="auto"/>
              <w:jc w:val="center"/>
              <w:rPr>
                <w:rFonts w:hint="eastAsia"/>
                <w:kern w:val="0"/>
                <w:szCs w:val="21"/>
                <w:lang w:bidi="ar"/>
              </w:rPr>
            </w:pPr>
            <w:r>
              <w:rPr>
                <w:rFonts w:hint="eastAsia"/>
                <w:kern w:val="0"/>
                <w:szCs w:val="21"/>
                <w:lang w:bidi="ar"/>
              </w:rPr>
              <w:t>90.67</w:t>
            </w:r>
          </w:p>
        </w:tc>
        <w:tc>
          <w:tcPr>
            <w:tcW w:w="1135" w:type="dxa"/>
            <w:noWrap w:val="0"/>
            <w:vAlign w:val="center"/>
          </w:tcPr>
          <w:p>
            <w:pPr>
              <w:widowControl/>
              <w:spacing w:line="360" w:lineRule="auto"/>
              <w:jc w:val="center"/>
              <w:rPr>
                <w:rFonts w:hint="eastAsia"/>
                <w:kern w:val="0"/>
                <w:szCs w:val="21"/>
                <w:lang w:bidi="ar"/>
              </w:rPr>
            </w:pPr>
            <w:r>
              <w:rPr>
                <w:rFonts w:hint="eastAsia"/>
                <w:kern w:val="0"/>
                <w:szCs w:val="21"/>
                <w:lang w:bidi="ar"/>
              </w:rPr>
              <w:t>92.83</w:t>
            </w:r>
          </w:p>
        </w:tc>
        <w:tc>
          <w:tcPr>
            <w:tcW w:w="1197" w:type="dxa"/>
            <w:noWrap w:val="0"/>
            <w:vAlign w:val="center"/>
          </w:tcPr>
          <w:p>
            <w:pPr>
              <w:widowControl/>
              <w:spacing w:line="360" w:lineRule="auto"/>
              <w:jc w:val="center"/>
              <w:rPr>
                <w:rFonts w:hint="eastAsia"/>
                <w:kern w:val="0"/>
                <w:szCs w:val="21"/>
                <w:lang w:bidi="ar"/>
              </w:rPr>
            </w:pPr>
            <w:r>
              <w:rPr>
                <w:rFonts w:hint="eastAsia"/>
                <w:kern w:val="0"/>
                <w:szCs w:val="21"/>
                <w:lang w:bidi="ar"/>
              </w:rPr>
              <w:t>94.42</w:t>
            </w:r>
          </w:p>
        </w:tc>
        <w:tc>
          <w:tcPr>
            <w:tcW w:w="1337" w:type="dxa"/>
            <w:noWrap w:val="0"/>
            <w:vAlign w:val="center"/>
          </w:tcPr>
          <w:p>
            <w:pPr>
              <w:widowControl/>
              <w:spacing w:line="360" w:lineRule="auto"/>
              <w:jc w:val="center"/>
              <w:rPr>
                <w:rFonts w:hint="eastAsia"/>
                <w:kern w:val="0"/>
                <w:szCs w:val="21"/>
                <w:lang w:bidi="ar"/>
              </w:rPr>
            </w:pPr>
            <w:r>
              <w:rPr>
                <w:rFonts w:hint="eastAsia"/>
                <w:kern w:val="0"/>
                <w:szCs w:val="21"/>
                <w:lang w:bidi="ar"/>
              </w:rPr>
              <w:t>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803"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本校相对其他院校增减百分点</w:t>
            </w:r>
          </w:p>
        </w:tc>
        <w:tc>
          <w:tcPr>
            <w:tcW w:w="1167"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35" w:type="dxa"/>
            <w:noWrap w:val="0"/>
            <w:vAlign w:val="center"/>
          </w:tcPr>
          <w:p>
            <w:pPr>
              <w:widowControl/>
              <w:spacing w:line="360" w:lineRule="auto"/>
              <w:jc w:val="center"/>
              <w:rPr>
                <w:rFonts w:hint="eastAsia"/>
                <w:kern w:val="0"/>
                <w:szCs w:val="21"/>
                <w:lang w:bidi="ar"/>
              </w:rPr>
            </w:pPr>
            <w:r>
              <w:rPr>
                <w:rFonts w:hint="eastAsia"/>
                <w:kern w:val="0"/>
                <w:szCs w:val="21"/>
                <w:lang w:bidi="ar"/>
              </w:rPr>
              <w:t>-2.33</w:t>
            </w:r>
          </w:p>
        </w:tc>
        <w:tc>
          <w:tcPr>
            <w:tcW w:w="1197" w:type="dxa"/>
            <w:noWrap w:val="0"/>
            <w:vAlign w:val="center"/>
          </w:tcPr>
          <w:p>
            <w:pPr>
              <w:widowControl/>
              <w:spacing w:line="360" w:lineRule="auto"/>
              <w:jc w:val="center"/>
              <w:rPr>
                <w:rFonts w:hint="eastAsia"/>
                <w:kern w:val="0"/>
                <w:szCs w:val="21"/>
                <w:lang w:bidi="ar"/>
              </w:rPr>
            </w:pPr>
            <w:r>
              <w:rPr>
                <w:rFonts w:hint="eastAsia"/>
                <w:kern w:val="0"/>
                <w:szCs w:val="21"/>
                <w:lang w:bidi="ar"/>
              </w:rPr>
              <w:t>-3.97</w:t>
            </w:r>
          </w:p>
        </w:tc>
        <w:tc>
          <w:tcPr>
            <w:tcW w:w="1337" w:type="dxa"/>
            <w:noWrap w:val="0"/>
            <w:vAlign w:val="center"/>
          </w:tcPr>
          <w:p>
            <w:pPr>
              <w:widowControl/>
              <w:spacing w:line="360" w:lineRule="auto"/>
              <w:jc w:val="center"/>
              <w:rPr>
                <w:rFonts w:hint="eastAsia"/>
                <w:kern w:val="0"/>
                <w:szCs w:val="21"/>
                <w:lang w:bidi="ar"/>
              </w:rPr>
            </w:pPr>
            <w:r>
              <w:rPr>
                <w:rFonts w:hint="eastAsia"/>
                <w:kern w:val="0"/>
                <w:szCs w:val="21"/>
                <w:lang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803"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（12月31日）就业毕业生比例（%）</w:t>
            </w:r>
          </w:p>
        </w:tc>
        <w:tc>
          <w:tcPr>
            <w:tcW w:w="1167" w:type="dxa"/>
            <w:noWrap w:val="0"/>
            <w:vAlign w:val="center"/>
          </w:tcPr>
          <w:p>
            <w:pPr>
              <w:widowControl/>
              <w:spacing w:line="360" w:lineRule="auto"/>
              <w:jc w:val="center"/>
              <w:rPr>
                <w:rFonts w:hint="default"/>
                <w:kern w:val="0"/>
                <w:szCs w:val="21"/>
                <w:lang w:val="en-US" w:eastAsia="zh-CN" w:bidi="ar"/>
              </w:rPr>
            </w:pPr>
            <w:r>
              <w:rPr>
                <w:rFonts w:hint="eastAsia"/>
                <w:kern w:val="0"/>
                <w:szCs w:val="21"/>
                <w:lang w:bidi="ar"/>
              </w:rPr>
              <w:t>9</w:t>
            </w:r>
            <w:r>
              <w:rPr>
                <w:rFonts w:hint="eastAsia"/>
                <w:kern w:val="0"/>
                <w:szCs w:val="21"/>
                <w:lang w:val="en-US" w:eastAsia="zh-CN" w:bidi="ar"/>
              </w:rPr>
              <w:t>6</w:t>
            </w:r>
            <w:r>
              <w:rPr>
                <w:rFonts w:hint="eastAsia"/>
                <w:kern w:val="0"/>
                <w:szCs w:val="21"/>
                <w:lang w:bidi="ar"/>
              </w:rPr>
              <w:t>.</w:t>
            </w:r>
            <w:r>
              <w:rPr>
                <w:rFonts w:hint="eastAsia"/>
                <w:kern w:val="0"/>
                <w:szCs w:val="21"/>
                <w:lang w:val="en-US" w:eastAsia="zh-CN" w:bidi="ar"/>
              </w:rPr>
              <w:t>97</w:t>
            </w:r>
          </w:p>
        </w:tc>
        <w:tc>
          <w:tcPr>
            <w:tcW w:w="1135" w:type="dxa"/>
            <w:noWrap w:val="0"/>
            <w:vAlign w:val="center"/>
          </w:tcPr>
          <w:p>
            <w:pPr>
              <w:widowControl/>
              <w:spacing w:line="360" w:lineRule="auto"/>
              <w:jc w:val="center"/>
              <w:rPr>
                <w:rFonts w:hint="eastAsia"/>
                <w:kern w:val="0"/>
                <w:szCs w:val="21"/>
                <w:lang w:bidi="ar"/>
              </w:rPr>
            </w:pPr>
            <w:r>
              <w:rPr>
                <w:rFonts w:hint="eastAsia"/>
                <w:kern w:val="0"/>
                <w:szCs w:val="21"/>
                <w:lang w:bidi="ar"/>
              </w:rPr>
              <w:t>96.09</w:t>
            </w:r>
          </w:p>
        </w:tc>
        <w:tc>
          <w:tcPr>
            <w:tcW w:w="1197" w:type="dxa"/>
            <w:noWrap w:val="0"/>
            <w:vAlign w:val="center"/>
          </w:tcPr>
          <w:p>
            <w:pPr>
              <w:widowControl/>
              <w:spacing w:line="360" w:lineRule="auto"/>
              <w:jc w:val="center"/>
              <w:rPr>
                <w:rFonts w:hint="eastAsia"/>
                <w:kern w:val="0"/>
                <w:szCs w:val="21"/>
                <w:lang w:bidi="ar"/>
              </w:rPr>
            </w:pPr>
            <w:r>
              <w:rPr>
                <w:rFonts w:hint="eastAsia"/>
                <w:kern w:val="0"/>
                <w:szCs w:val="21"/>
                <w:lang w:bidi="ar"/>
              </w:rPr>
              <w:t>96.83</w:t>
            </w:r>
          </w:p>
        </w:tc>
        <w:tc>
          <w:tcPr>
            <w:tcW w:w="1337" w:type="dxa"/>
            <w:noWrap w:val="0"/>
            <w:vAlign w:val="center"/>
          </w:tcPr>
          <w:p>
            <w:pPr>
              <w:widowControl/>
              <w:spacing w:line="360" w:lineRule="auto"/>
              <w:jc w:val="center"/>
              <w:rPr>
                <w:rFonts w:hint="eastAsia"/>
                <w:kern w:val="0"/>
                <w:szCs w:val="21"/>
                <w:lang w:bidi="ar"/>
              </w:rPr>
            </w:pPr>
            <w:r>
              <w:rPr>
                <w:rFonts w:hint="eastAsia"/>
                <w:kern w:val="0"/>
                <w:szCs w:val="21"/>
                <w:lang w:bidi="ar"/>
              </w:rPr>
              <w:t>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03"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本校相对其他院校增减百分点</w:t>
            </w:r>
          </w:p>
        </w:tc>
        <w:tc>
          <w:tcPr>
            <w:tcW w:w="1167"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35" w:type="dxa"/>
            <w:noWrap w:val="0"/>
            <w:vAlign w:val="center"/>
          </w:tcPr>
          <w:p>
            <w:pPr>
              <w:widowControl/>
              <w:spacing w:line="360" w:lineRule="auto"/>
              <w:jc w:val="center"/>
              <w:rPr>
                <w:rFonts w:hint="eastAsia"/>
                <w:kern w:val="0"/>
                <w:szCs w:val="21"/>
                <w:lang w:bidi="ar"/>
              </w:rPr>
            </w:pPr>
            <w:r>
              <w:rPr>
                <w:rFonts w:hint="eastAsia"/>
                <w:kern w:val="0"/>
                <w:szCs w:val="21"/>
                <w:lang w:bidi="ar"/>
              </w:rPr>
              <w:t>+0.96</w:t>
            </w:r>
          </w:p>
        </w:tc>
        <w:tc>
          <w:tcPr>
            <w:tcW w:w="1197" w:type="dxa"/>
            <w:noWrap w:val="0"/>
            <w:vAlign w:val="center"/>
          </w:tcPr>
          <w:p>
            <w:pPr>
              <w:widowControl/>
              <w:spacing w:line="360" w:lineRule="auto"/>
              <w:jc w:val="center"/>
              <w:rPr>
                <w:rFonts w:hint="eastAsia"/>
                <w:kern w:val="0"/>
                <w:szCs w:val="21"/>
                <w:lang w:bidi="ar"/>
              </w:rPr>
            </w:pPr>
            <w:r>
              <w:rPr>
                <w:rFonts w:hint="eastAsia"/>
                <w:kern w:val="0"/>
                <w:szCs w:val="21"/>
                <w:lang w:bidi="ar"/>
              </w:rPr>
              <w:t>+0.19</w:t>
            </w:r>
          </w:p>
        </w:tc>
        <w:tc>
          <w:tcPr>
            <w:tcW w:w="1337" w:type="dxa"/>
            <w:noWrap w:val="0"/>
            <w:vAlign w:val="center"/>
          </w:tcPr>
          <w:p>
            <w:pPr>
              <w:widowControl/>
              <w:spacing w:line="360" w:lineRule="auto"/>
              <w:jc w:val="center"/>
              <w:rPr>
                <w:rFonts w:hint="eastAsia"/>
                <w:kern w:val="0"/>
                <w:szCs w:val="21"/>
                <w:lang w:bidi="ar"/>
              </w:rPr>
            </w:pPr>
            <w:r>
              <w:rPr>
                <w:rFonts w:hint="eastAsia"/>
                <w:kern w:val="0"/>
                <w:szCs w:val="21"/>
                <w:lang w:bidi="ar"/>
              </w:rPr>
              <w:t>+1.33</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2019年度学校应届毕业生2411人，就业率达到96.97%，专升本人数137人，专升本率5.68%。</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我校2019毕业生就业工作地点主要以陕西省为主占就业人数90.48%，但去外地工作的人数逐年增加。2019届毕业生在A类地区工作人数2015人，在世界500强企业工作人数为75人（数据截止到12月31日）。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学校2019年毕业生专业“完全对口”的比例为6.89%；“基本对口”的比例为48.28%；“不对口”的比例为44.83%。学生认为工作不对口的原因主要由于就业机会少，不符合兴趣，收入待遇低，工作环境不好等。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学校对于学生提供的就业服务有：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善就业创业工作基础建设。学校建立了完备的就业创业组织机构，设置就业创业指导服务中心，配有相对稳定的专职工作人员6人，各二级学院也配备了1名专任工作人员和指导教师，形成了一支专兼职结合的就业创业工作队伍。建立起校院班三级学生就业服务体系，采取点面结合的方式为学生就业提供有效指导，随时掌握学生的就业动态，引进企业家或人力资源专业人员参与就业指导过程。积极开展理论教学和职业实践活动，及早进行职业规划，合理定位，提高就业技能。</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扎实开好就业创业指导课程。我校目前已开设《创新创业教育》、《职业生涯规划和职业素养》和《就业指导》等3门课程，并作为必修课融入各专业人才培养方案。各学院开设就业创业指导类公选课，引导和扶持学生创新创业专业社团建设。每学期邀请校企合作企业高管、人力资源专家和优秀毕业生来校为学生做专题讲座和报告。充分发挥“省属创业培训定点机构”平台优势，积极开展SYB培训，为学生创业做好铺垫。</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3.举办“企业专场”招聘会，提高双选效率，提升就业质量。2018-2019学年共举办2场大型校园招聘会，共有277家用人单位参加，提供9391个岗位，学校2019年的2411名毕业生就业率达到96.97%。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增进人文关怀，帮扶困难学生群体。为困难毕业生建立就业信息台账，我校2019届毕业生，建档立卡生有220人，少数民族贫困生16人，深度地区贫困生103人，建立了“一对一”就业帮扶工作机制。组织毕业生一次性求职补贴申请工作，121名学生获得每人1000元的求职补贴资助。</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color w:val="000000"/>
          <w:kern w:val="0"/>
          <w:sz w:val="28"/>
          <w:szCs w:val="28"/>
          <w:lang w:bidi="ar"/>
        </w:rPr>
      </w:pPr>
      <w:bookmarkStart w:id="33" w:name="_Toc21479"/>
      <w:r>
        <w:rPr>
          <w:rFonts w:hint="eastAsia" w:ascii="宋体" w:hAnsi="宋体" w:eastAsia="宋体" w:cs="宋体"/>
          <w:b/>
          <w:bCs/>
          <w:color w:val="000000"/>
          <w:kern w:val="0"/>
          <w:sz w:val="28"/>
          <w:szCs w:val="28"/>
          <w:lang w:bidi="ar"/>
        </w:rPr>
        <w:t>（三）创新创业素质</w:t>
      </w:r>
      <w:r>
        <w:rPr>
          <w:rFonts w:hint="eastAsia" w:ascii="宋体" w:hAnsi="宋体" w:cs="宋体"/>
          <w:b/>
          <w:bCs/>
          <w:color w:val="000000"/>
          <w:kern w:val="0"/>
          <w:sz w:val="28"/>
          <w:szCs w:val="28"/>
          <w:lang w:eastAsia="zh-CN" w:bidi="ar"/>
        </w:rPr>
        <w:t>的</w:t>
      </w:r>
      <w:r>
        <w:rPr>
          <w:rFonts w:hint="eastAsia" w:ascii="宋体" w:hAnsi="宋体" w:eastAsia="宋体" w:cs="宋体"/>
          <w:b/>
          <w:bCs/>
          <w:color w:val="000000"/>
          <w:kern w:val="0"/>
          <w:sz w:val="28"/>
          <w:szCs w:val="28"/>
          <w:lang w:bidi="ar"/>
        </w:rPr>
        <w:t>培养情况</w:t>
      </w:r>
      <w:bookmarkEnd w:id="3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学校创新创业教育主导思想和工作模式：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1.2017年，我校出台《陕西工商职业学院关于深化创新创业教育改革实施方案》，提出了“创新引领创业，创业带动就业”的教育主导思想，全面推行大学生创新创业教育改革，明确提出2017年深化创新创业教育机制，2020年普及创新创业教育，建立健全融理论教学、实训实践和支持保障为一体的创新创业教育体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结合服务陕西现代服务业的发展定位，学校确立了“用创业带动高质量就业，用高质量就业促进专业建设和教学改革”的学校就业创业工作的主导思想，以“互联网+”大学生创新创业大赛和省级校外创新创业实践基地建设为抓手，全面推进大学生创新创业教育改革。 2018年学校成功获批了“陕西省示范性高等学校就业创业指导服务机构”。创新创业教育主要工作情况如下：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创新创业课程建设。学校开设了《大学生创新创业教育基础》公共必修课。本课程是我校《陕西省高校创新行动计划》研究实践的成果，针对高职学生特点，有效指导学生参加各类创新创业大赛。公共管理学院还开设了《创业管理》的选修课。</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创新创业实践基地建设。2018年学校改扩建了“大学生创新创业基地”，总面积约1200平方米，主要有创业咨询服务中心、大学生创新创业大讲堂、路演室、项目推介及展厅、创客交流区、电商CEO孵化园、软件开发室、旅游酒店创业俱乐部以及新媒体工作室等创新创业活动区域。实行“项目引进、培育孵化、企业投资”等模式运行，形成“创业指导、创业服务、创业培训、创业研究”于一体的大学生创新创业活动平台。基地为入驻项目提供一定的资金扶持，对优质项目推介给合作企业进行市场化运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（3）互联网+创新创业大赛。学校组织学生积极参加“互联网+”大学生创新创业大赛，参赛学生数量不断增加，项目质量逐年提升，大赛影响力不断扩大。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kern w:val="0"/>
          <w:sz w:val="24"/>
          <w:szCs w:val="24"/>
          <w:lang w:bidi="ar"/>
        </w:rPr>
      </w:pPr>
      <w:r>
        <w:rPr>
          <w:rFonts w:hint="eastAsia" w:ascii="仿宋_GB2312" w:hAnsi="仿宋_GB2312" w:eastAsia="仿宋_GB2312" w:cs="仿宋_GB2312"/>
          <w:sz w:val="28"/>
          <w:szCs w:val="28"/>
          <w:lang w:val="en-US" w:eastAsia="zh-CN"/>
        </w:rPr>
        <w:t>在近三年“互联网+”大学生创新创业大赛中， 2017年上报参赛项目226个，获省赛铜奖3项；2018年上报参赛项目211个，获省赛银奖1项、铜奖4项；2019年，上报参赛项目242个，获得省赛银奖3项，铜奖6项，学校还取得了“高校集体奖”的荣誉；2020年上报项目276个，有10个项目参加了省级比赛。</w:t>
      </w:r>
      <w:r>
        <w:rPr>
          <w:rFonts w:hint="eastAsia" w:ascii="宋体" w:hAnsi="宋体" w:eastAsia="宋体" w:cs="宋体"/>
          <w:color w:val="000000"/>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color w:val="auto"/>
          <w:kern w:val="0"/>
          <w:sz w:val="28"/>
          <w:szCs w:val="28"/>
          <w:lang w:bidi="ar"/>
        </w:rPr>
      </w:pPr>
      <w:bookmarkStart w:id="34" w:name="_Toc10773"/>
      <w:r>
        <w:rPr>
          <w:rFonts w:hint="eastAsia" w:ascii="宋体" w:hAnsi="宋体" w:eastAsia="宋体" w:cs="宋体"/>
          <w:b/>
          <w:bCs/>
          <w:color w:val="auto"/>
          <w:kern w:val="0"/>
          <w:sz w:val="28"/>
          <w:szCs w:val="28"/>
          <w:lang w:bidi="ar"/>
        </w:rPr>
        <w:t>（四）国际合作办学</w:t>
      </w:r>
      <w:r>
        <w:rPr>
          <w:rFonts w:hint="eastAsia" w:ascii="宋体" w:hAnsi="宋体" w:cs="宋体"/>
          <w:b/>
          <w:bCs/>
          <w:color w:val="auto"/>
          <w:kern w:val="0"/>
          <w:sz w:val="28"/>
          <w:szCs w:val="28"/>
          <w:lang w:eastAsia="zh-CN" w:bidi="ar"/>
        </w:rPr>
        <w:t>的进展</w:t>
      </w:r>
      <w:r>
        <w:rPr>
          <w:rFonts w:hint="eastAsia" w:ascii="宋体" w:hAnsi="宋体" w:eastAsia="宋体" w:cs="宋体"/>
          <w:b/>
          <w:bCs/>
          <w:color w:val="auto"/>
          <w:kern w:val="0"/>
          <w:sz w:val="28"/>
          <w:szCs w:val="28"/>
          <w:lang w:bidi="ar"/>
        </w:rPr>
        <w:t>情况</w:t>
      </w:r>
      <w:bookmarkEnd w:id="34"/>
      <w:r>
        <w:rPr>
          <w:rFonts w:hint="eastAsia" w:ascii="宋体" w:hAnsi="宋体" w:eastAsia="宋体" w:cs="宋体"/>
          <w:b/>
          <w:bCs/>
          <w:color w:val="auto"/>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校与德国德拓育（TEUTLOFF）技术学院缔结为“友好学校”。德国德拓育（TEUTLOFF）技术学院自2017年与学校签署战略合作协议以来，双方已经在教师互访、师资培训，共建专业等方面开展了一系列工作。双方缔结友好学校后，在人才培养，师资培训、学生交流、专业共建、境外就业等方面开展深度合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瑞旅游与酒店管理学院（前身为陕西省旅游学校）从2001年开始和日本友好饭店协会达成合作交流协议，学院聘请日方外教授课，从2002年开始派遣赴日研修生，截止2019年，共派出19批700余名学生赴日研修。学院与阿联酋迪拜合作方达成合作协议，被确定为该项目西北地区唯一合作院校，截止2018年，派出300余名研修生，均在迪拜、阿布扎比五星级以上酒店和免税店研修、就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几年，学校广泛开展和美国、瑞士、韩国、新加坡等国的合作与交流，有40余名学生赴韩国东亚大学、东义大学留学，攻读本硕学位。2019年，学校派遣15名酒店管理专业的骨干教师，远赴世界著名的瑞士洛桑酒店管理学院进行实地培训和学习。同时，与该学院签订了合作办学协议以及建立培训中心意向。</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eastAsia="宋体" w:cs="宋体"/>
          <w:b/>
          <w:bCs/>
          <w:sz w:val="28"/>
          <w:szCs w:val="28"/>
          <w:lang w:val="en-US" w:eastAsia="zh-CN"/>
        </w:rPr>
      </w:pPr>
      <w:bookmarkStart w:id="35" w:name="_Toc14908"/>
      <w:r>
        <w:rPr>
          <w:rFonts w:hint="eastAsia" w:ascii="宋体" w:hAnsi="宋体" w:eastAsia="宋体" w:cs="宋体"/>
          <w:b/>
          <w:bCs/>
          <w:color w:val="000000"/>
          <w:kern w:val="0"/>
          <w:sz w:val="28"/>
          <w:szCs w:val="28"/>
          <w:lang w:bidi="ar"/>
        </w:rPr>
        <w:t>六、学校社会服务能力分析</w:t>
      </w:r>
      <w:bookmarkEnd w:id="35"/>
      <w:r>
        <w:rPr>
          <w:rFonts w:hint="eastAsia" w:ascii="宋体" w:hAnsi="宋体" w:cs="宋体"/>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sz w:val="28"/>
          <w:szCs w:val="28"/>
        </w:rPr>
      </w:pPr>
      <w:bookmarkStart w:id="36" w:name="_Toc20639"/>
      <w:r>
        <w:rPr>
          <w:rFonts w:hint="eastAsia" w:ascii="宋体" w:hAnsi="宋体" w:eastAsia="宋体" w:cs="宋体"/>
          <w:b/>
          <w:bCs/>
          <w:color w:val="000000"/>
          <w:kern w:val="0"/>
          <w:sz w:val="28"/>
          <w:szCs w:val="28"/>
          <w:lang w:bidi="ar"/>
        </w:rPr>
        <w:t>（一）服务区域经济发展能力情况</w:t>
      </w:r>
      <w:bookmarkEnd w:id="36"/>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社区教育与学分银行管理中心（陕西省社区教育指导中心）于2019年5月在江苏扬州举办了“陕西省社区教育工作人员培训”，组织全省各地市社区代表130余名学员参加培训。围绕社区教育如何促进区域经济发展、社区教育如何融入社区治理、社区教育如何增强基层组织凝聚力等内容展开，为社区基层工作者提供了丰富的理论知识和实践经验。</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color w:val="000000"/>
          <w:kern w:val="0"/>
          <w:sz w:val="28"/>
          <w:szCs w:val="28"/>
          <w:lang w:eastAsia="zh-CN" w:bidi="ar"/>
        </w:rPr>
      </w:pPr>
      <w:bookmarkStart w:id="37" w:name="_Toc31778"/>
      <w:r>
        <w:rPr>
          <w:rFonts w:hint="eastAsia" w:ascii="宋体" w:hAnsi="宋体" w:eastAsia="宋体" w:cs="宋体"/>
          <w:b/>
          <w:bCs/>
          <w:color w:val="000000"/>
          <w:kern w:val="0"/>
          <w:sz w:val="28"/>
          <w:szCs w:val="28"/>
          <w:lang w:bidi="ar"/>
        </w:rPr>
        <w:t>（二）专业设置适应社会需求情况</w:t>
      </w:r>
      <w:bookmarkEnd w:id="37"/>
      <w:r>
        <w:rPr>
          <w:rFonts w:hint="eastAsia" w:ascii="宋体" w:hAnsi="宋体" w:eastAsia="宋体" w:cs="宋体"/>
          <w:color w:val="000000"/>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学校一贯重视专业设置适应社会需求相适应。</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首先，调整专业结构，优化专业布局。紧密围绕陕西经济社会发展对职业人才的需求，以“提高培养质量、突出办学特色、增强社会适应性”为原则优化专业（群）结构。完善毕业生就业、专业人才供需年度报告制度和专业预警、退出机制，形成专业与招生数量的动态调整机制。2018-2019年新增专业有：机电一体化技术、数控技术、焊接技术与自动化、学前教育、建设项目信息化管理、护理（社区护理）、航空地面设备维修、安全防范技术、网络营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次，强化专业特色，打造品牌专业。立足学校办学定位和实际，突出现代服务业专业特色，全面加强专业内涵建设，重点建设旅游酒店、商贸流通、财会金融、信息技术等专业群。按照专业综合改革试点项目、创新发展行动计划骨干专业、省级“一流专业”等指标体系进行专业标准化建设。根据专业建设层级和在校学生人数划拨专业建设经费，优先重点建设3-5个优势突出、有品牌效应的专业（群），重点建设10-15个专业，持续建设20-25个专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服务“一带一路”，扩大国际交流。加强与德国、瑞士等职业教育发达国家的交流合作，选派优秀学生到“一带一路”沿线国家实习和就业，培养一批具有国际视野、通晓国际规则的技术技能人才。积极组织学生赴国（境）外研学、实习；按照国际职业教育理念和国际化专业建设元素打造3-4个专业，提升专业建设国际化水平。</w:t>
      </w:r>
    </w:p>
    <w:p>
      <w:pPr>
        <w:widowControl/>
        <w:spacing w:line="36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表21   2019 年学校专业设置适应社会需求情况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99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992"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993"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59"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86" w:type="dxa"/>
            <w:noWrap w:val="0"/>
            <w:vAlign w:val="top"/>
          </w:tcPr>
          <w:p>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eastAsia="zh-CN" w:bidi="ar"/>
              </w:rPr>
              <w:t>学校</w:t>
            </w:r>
            <w:r>
              <w:rPr>
                <w:rFonts w:hint="eastAsia" w:ascii="宋体" w:hAnsi="宋体" w:cs="宋体"/>
                <w:color w:val="000000"/>
                <w:kern w:val="0"/>
                <w:szCs w:val="21"/>
                <w:lang w:bidi="ar"/>
              </w:rPr>
              <w:t>专业点学生分布（专业生均数）（人/专业）</w:t>
            </w:r>
          </w:p>
        </w:tc>
        <w:tc>
          <w:tcPr>
            <w:tcW w:w="992" w:type="dxa"/>
            <w:noWrap w:val="0"/>
            <w:vAlign w:val="center"/>
          </w:tcPr>
          <w:p>
            <w:pPr>
              <w:widowControl/>
              <w:spacing w:line="360" w:lineRule="auto"/>
              <w:jc w:val="center"/>
              <w:rPr>
                <w:kern w:val="0"/>
                <w:szCs w:val="21"/>
                <w:lang w:bidi="ar"/>
              </w:rPr>
            </w:pPr>
            <w:r>
              <w:rPr>
                <w:rFonts w:hint="eastAsia"/>
                <w:kern w:val="0"/>
                <w:szCs w:val="21"/>
                <w:lang w:bidi="ar"/>
              </w:rPr>
              <w:t>161.48</w:t>
            </w:r>
          </w:p>
        </w:tc>
        <w:tc>
          <w:tcPr>
            <w:tcW w:w="993" w:type="dxa"/>
            <w:noWrap w:val="0"/>
            <w:vAlign w:val="center"/>
          </w:tcPr>
          <w:p>
            <w:pPr>
              <w:widowControl/>
              <w:spacing w:line="360" w:lineRule="auto"/>
              <w:jc w:val="center"/>
              <w:rPr>
                <w:kern w:val="0"/>
                <w:szCs w:val="21"/>
                <w:lang w:bidi="ar"/>
              </w:rPr>
            </w:pPr>
            <w:r>
              <w:rPr>
                <w:rFonts w:hint="eastAsia"/>
                <w:kern w:val="0"/>
                <w:szCs w:val="21"/>
                <w:lang w:bidi="ar"/>
              </w:rPr>
              <w:t>167.48</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 w:val="18"/>
                <w:szCs w:val="18"/>
                <w:lang w:eastAsia="zh-CN" w:bidi="ar"/>
              </w:rPr>
              <w:t>学校</w:t>
            </w:r>
            <w:r>
              <w:rPr>
                <w:rFonts w:hint="eastAsia" w:ascii="宋体" w:hAnsi="宋体" w:cs="宋体"/>
                <w:color w:val="000000"/>
                <w:kern w:val="0"/>
                <w:sz w:val="18"/>
                <w:szCs w:val="18"/>
                <w:lang w:bidi="ar"/>
              </w:rPr>
              <w:t>学生数最多的</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bidi="ar"/>
              </w:rPr>
              <w:t>个专业与区域产业的对接程度（%）</w:t>
            </w:r>
          </w:p>
        </w:tc>
        <w:tc>
          <w:tcPr>
            <w:tcW w:w="992" w:type="dxa"/>
            <w:noWrap w:val="0"/>
            <w:vAlign w:val="center"/>
          </w:tcPr>
          <w:p>
            <w:pPr>
              <w:widowControl/>
              <w:spacing w:line="360" w:lineRule="auto"/>
              <w:jc w:val="center"/>
              <w:rPr>
                <w:kern w:val="0"/>
                <w:szCs w:val="21"/>
                <w:lang w:bidi="ar"/>
              </w:rPr>
            </w:pPr>
            <w:r>
              <w:rPr>
                <w:rFonts w:hint="eastAsia"/>
                <w:kern w:val="0"/>
                <w:szCs w:val="21"/>
                <w:lang w:bidi="ar"/>
              </w:rPr>
              <w:t>100</w:t>
            </w:r>
          </w:p>
        </w:tc>
        <w:tc>
          <w:tcPr>
            <w:tcW w:w="993" w:type="dxa"/>
            <w:noWrap w:val="0"/>
            <w:vAlign w:val="center"/>
          </w:tcPr>
          <w:p>
            <w:pPr>
              <w:widowControl/>
              <w:spacing w:line="360" w:lineRule="auto"/>
              <w:jc w:val="center"/>
              <w:rPr>
                <w:kern w:val="0"/>
                <w:szCs w:val="21"/>
                <w:lang w:bidi="ar"/>
              </w:rPr>
            </w:pPr>
            <w:r>
              <w:rPr>
                <w:rFonts w:hint="eastAsia"/>
                <w:kern w:val="0"/>
                <w:szCs w:val="21"/>
                <w:lang w:bidi="ar"/>
              </w:rPr>
              <w:t>100</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学生统招计划报考上线率（%）</w:t>
            </w:r>
          </w:p>
        </w:tc>
        <w:tc>
          <w:tcPr>
            <w:tcW w:w="992"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993"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第一志愿上线比例（%）</w:t>
            </w:r>
          </w:p>
        </w:tc>
        <w:tc>
          <w:tcPr>
            <w:tcW w:w="992"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993"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 xml:space="preserve">自主招生计划报考率（%）  </w:t>
            </w:r>
          </w:p>
        </w:tc>
        <w:tc>
          <w:tcPr>
            <w:tcW w:w="992" w:type="dxa"/>
            <w:noWrap w:val="0"/>
            <w:vAlign w:val="center"/>
          </w:tcPr>
          <w:p>
            <w:pPr>
              <w:widowControl/>
              <w:spacing w:line="360" w:lineRule="auto"/>
              <w:jc w:val="center"/>
              <w:rPr>
                <w:rFonts w:hint="eastAsia"/>
                <w:kern w:val="0"/>
                <w:szCs w:val="21"/>
                <w:lang w:bidi="ar"/>
              </w:rPr>
            </w:pPr>
            <w:r>
              <w:rPr>
                <w:rFonts w:hint="eastAsia"/>
                <w:kern w:val="0"/>
                <w:szCs w:val="21"/>
                <w:lang w:bidi="ar"/>
              </w:rPr>
              <w:t>53.4</w:t>
            </w:r>
          </w:p>
        </w:tc>
        <w:tc>
          <w:tcPr>
            <w:tcW w:w="993" w:type="dxa"/>
            <w:noWrap w:val="0"/>
            <w:vAlign w:val="center"/>
          </w:tcPr>
          <w:p>
            <w:pPr>
              <w:widowControl/>
              <w:spacing w:line="360" w:lineRule="auto"/>
              <w:jc w:val="center"/>
              <w:rPr>
                <w:rFonts w:hint="eastAsia"/>
                <w:kern w:val="0"/>
                <w:szCs w:val="21"/>
                <w:lang w:bidi="ar"/>
              </w:rPr>
            </w:pPr>
            <w:r>
              <w:rPr>
                <w:rFonts w:hint="eastAsia"/>
                <w:kern w:val="0"/>
                <w:szCs w:val="21"/>
                <w:lang w:bidi="ar"/>
              </w:rPr>
              <w:t>49.8</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自主招生计划完成率（%）</w:t>
            </w:r>
          </w:p>
        </w:tc>
        <w:tc>
          <w:tcPr>
            <w:tcW w:w="992" w:type="dxa"/>
            <w:noWrap w:val="0"/>
            <w:vAlign w:val="center"/>
          </w:tcPr>
          <w:p>
            <w:pPr>
              <w:widowControl/>
              <w:spacing w:line="360" w:lineRule="auto"/>
              <w:jc w:val="center"/>
              <w:rPr>
                <w:rFonts w:hint="eastAsia"/>
                <w:kern w:val="0"/>
                <w:szCs w:val="21"/>
                <w:lang w:bidi="ar"/>
              </w:rPr>
            </w:pPr>
            <w:r>
              <w:rPr>
                <w:rFonts w:hint="eastAsia"/>
                <w:kern w:val="0"/>
                <w:szCs w:val="21"/>
                <w:lang w:bidi="ar"/>
              </w:rPr>
              <w:t>28.4</w:t>
            </w:r>
          </w:p>
        </w:tc>
        <w:tc>
          <w:tcPr>
            <w:tcW w:w="993" w:type="dxa"/>
            <w:noWrap w:val="0"/>
            <w:vAlign w:val="center"/>
          </w:tcPr>
          <w:p>
            <w:pPr>
              <w:widowControl/>
              <w:spacing w:line="360" w:lineRule="auto"/>
              <w:jc w:val="center"/>
              <w:rPr>
                <w:rFonts w:hint="eastAsia"/>
                <w:kern w:val="0"/>
                <w:szCs w:val="21"/>
                <w:lang w:bidi="ar"/>
              </w:rPr>
            </w:pPr>
            <w:r>
              <w:rPr>
                <w:rFonts w:hint="eastAsia"/>
                <w:kern w:val="0"/>
                <w:szCs w:val="21"/>
                <w:lang w:bidi="ar"/>
              </w:rPr>
              <w:t>45.9</w:t>
            </w:r>
          </w:p>
        </w:tc>
        <w:tc>
          <w:tcPr>
            <w:tcW w:w="1559" w:type="dxa"/>
            <w:noWrap w:val="0"/>
            <w:vAlign w:val="center"/>
          </w:tcPr>
          <w:p>
            <w:pPr>
              <w:widowControl/>
              <w:spacing w:line="360" w:lineRule="auto"/>
              <w:jc w:val="center"/>
              <w:rPr>
                <w:rFonts w:hint="eastAsia"/>
                <w:kern w:val="0"/>
                <w:szCs w:val="21"/>
                <w:lang w:bidi="ar"/>
              </w:rPr>
            </w:pPr>
            <w:r>
              <w:rPr>
                <w:rFonts w:hint="eastAsia"/>
                <w:kern w:val="0"/>
                <w:szCs w:val="21"/>
                <w:lang w:bidi="ar"/>
              </w:rPr>
              <w:t>+61.6</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kern w:val="0"/>
          <w:sz w:val="18"/>
          <w:szCs w:val="18"/>
          <w:lang w:eastAsia="zh-CN" w:bidi="ar"/>
        </w:rPr>
      </w:pPr>
      <w:r>
        <w:rPr>
          <w:rFonts w:hint="eastAsia" w:ascii="宋体" w:hAnsi="宋体" w:cs="宋体"/>
          <w:b/>
          <w:bCs w:val="0"/>
          <w:color w:val="000000"/>
          <w:kern w:val="0"/>
          <w:sz w:val="18"/>
          <w:szCs w:val="18"/>
          <w:lang w:eastAsia="zh-CN" w:bidi="ar"/>
        </w:rPr>
        <w:t>注：指标解释</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kern w:val="0"/>
          <w:sz w:val="18"/>
          <w:szCs w:val="18"/>
          <w:lang w:bidi="ar"/>
        </w:rPr>
      </w:pPr>
      <w:r>
        <w:rPr>
          <w:rFonts w:hint="eastAsia" w:ascii="宋体" w:hAnsi="宋体" w:cs="宋体"/>
          <w:b w:val="0"/>
          <w:bCs/>
          <w:color w:val="000000"/>
          <w:kern w:val="0"/>
          <w:sz w:val="18"/>
          <w:szCs w:val="18"/>
          <w:lang w:val="en-US" w:eastAsia="zh-CN" w:bidi="ar"/>
        </w:rPr>
        <w:t>1.</w:t>
      </w:r>
      <w:r>
        <w:rPr>
          <w:rFonts w:hint="eastAsia" w:ascii="宋体" w:hAnsi="宋体" w:cs="宋体"/>
          <w:b w:val="0"/>
          <w:bCs/>
          <w:color w:val="000000"/>
          <w:kern w:val="0"/>
          <w:sz w:val="18"/>
          <w:szCs w:val="18"/>
          <w:lang w:bidi="ar"/>
        </w:rPr>
        <w:t>学生统招计划报考上线率：该指标概念模糊，学校并不掌握实际上报考咱学校的人数，只能录取投档学生，该指标也可理解为计划完成率，2017年计划招生3700，实际录取2649，完成率71.6%；2019年计划招生4000，实际录取2668，完成率66.7%。</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kern w:val="0"/>
          <w:sz w:val="18"/>
          <w:szCs w:val="18"/>
          <w:lang w:bidi="ar"/>
        </w:rPr>
      </w:pPr>
      <w:r>
        <w:rPr>
          <w:rFonts w:hint="eastAsia" w:ascii="宋体" w:hAnsi="宋体" w:cs="宋体"/>
          <w:b w:val="0"/>
          <w:bCs/>
          <w:color w:val="000000"/>
          <w:kern w:val="0"/>
          <w:sz w:val="18"/>
          <w:szCs w:val="18"/>
          <w:lang w:val="en-US" w:eastAsia="zh-CN" w:bidi="ar"/>
        </w:rPr>
        <w:t>2.</w:t>
      </w:r>
      <w:r>
        <w:rPr>
          <w:rFonts w:hint="eastAsia" w:ascii="宋体" w:hAnsi="宋体" w:cs="宋体"/>
          <w:b w:val="0"/>
          <w:bCs/>
          <w:color w:val="000000"/>
          <w:kern w:val="0"/>
          <w:sz w:val="18"/>
          <w:szCs w:val="18"/>
          <w:lang w:bidi="ar"/>
        </w:rPr>
        <w:t>自主招生：包括综合评价招生和高职扩招。</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18"/>
          <w:szCs w:val="18"/>
          <w:lang w:eastAsia="zh-CN" w:bidi="ar"/>
        </w:rPr>
      </w:pPr>
      <w:r>
        <w:rPr>
          <w:rFonts w:hint="eastAsia" w:ascii="宋体" w:hAnsi="宋体" w:cs="宋体"/>
          <w:b w:val="0"/>
          <w:bCs/>
          <w:color w:val="000000"/>
          <w:kern w:val="0"/>
          <w:sz w:val="18"/>
          <w:szCs w:val="18"/>
          <w:lang w:val="en-US" w:eastAsia="zh-CN" w:bidi="ar"/>
        </w:rPr>
        <w:t>3.</w:t>
      </w:r>
      <w:r>
        <w:rPr>
          <w:rFonts w:hint="eastAsia" w:ascii="宋体" w:hAnsi="宋体" w:cs="宋体"/>
          <w:b w:val="0"/>
          <w:bCs/>
          <w:color w:val="000000"/>
          <w:kern w:val="0"/>
          <w:sz w:val="18"/>
          <w:szCs w:val="18"/>
          <w:lang w:bidi="ar"/>
        </w:rPr>
        <w:t>自主招生计划报考率：自主招生录取人数/自主招生报名数</w:t>
      </w:r>
      <w:r>
        <w:rPr>
          <w:rFonts w:hint="eastAsia" w:ascii="宋体" w:hAnsi="宋体" w:cs="宋体"/>
          <w:b w:val="0"/>
          <w:bCs/>
          <w:color w:val="000000"/>
          <w:kern w:val="0"/>
          <w:sz w:val="18"/>
          <w:szCs w:val="18"/>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kern w:val="0"/>
          <w:sz w:val="18"/>
          <w:szCs w:val="18"/>
          <w:lang w:eastAsia="zh-CN" w:bidi="ar"/>
        </w:rPr>
      </w:pPr>
      <w:r>
        <w:rPr>
          <w:rFonts w:hint="eastAsia" w:ascii="宋体" w:hAnsi="宋体" w:cs="宋体"/>
          <w:b w:val="0"/>
          <w:bCs/>
          <w:color w:val="000000"/>
          <w:kern w:val="0"/>
          <w:sz w:val="18"/>
          <w:szCs w:val="18"/>
          <w:lang w:val="en-US" w:eastAsia="zh-CN" w:bidi="ar"/>
        </w:rPr>
        <w:t>4.</w:t>
      </w:r>
      <w:r>
        <w:rPr>
          <w:rFonts w:hint="eastAsia" w:ascii="宋体" w:hAnsi="宋体" w:cs="宋体"/>
          <w:b w:val="0"/>
          <w:bCs/>
          <w:color w:val="000000"/>
          <w:kern w:val="0"/>
          <w:sz w:val="18"/>
          <w:szCs w:val="18"/>
          <w:lang w:bidi="ar"/>
        </w:rPr>
        <w:t>自主招生计划完成率：自主招生实际招生人数/自主招生录取人数</w:t>
      </w:r>
      <w:r>
        <w:rPr>
          <w:rFonts w:hint="eastAsia" w:ascii="宋体" w:hAnsi="宋体" w:cs="宋体"/>
          <w:b w:val="0"/>
          <w:bCs/>
          <w:color w:val="000000"/>
          <w:kern w:val="0"/>
          <w:sz w:val="18"/>
          <w:szCs w:val="18"/>
          <w:lang w:eastAsia="zh-CN" w:bidi="ar"/>
        </w:rPr>
        <w:t>。</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在招生工作方面，学校成立招生工作领导小组，严格遵循教育部、教育厅和省考试院的各项规定和要求，坚持“公平、公正、公开”，择优录取的原则，积极实施“阳光招生”，确保招生工作高效顺利开展。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招生宣传和录取工作中，对学校参与招生宣传和录取工作的全体人员进行培训，提高了全体参加招生工作人员的思想觉悟和组织性、纪律性。在学校招生网上将涉及招生工作的相关信息及时进行公布。近年来，学校凭借良好的发展态势以及行之有效的招生宣传工作，第一志愿上线率不断提高，并获得2019年单独招生资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lang w:val="en-US" w:eastAsia="zh-CN"/>
        </w:rPr>
        <w:t>1.专业点学生分布情况。学校主动对接区域产业发展需求，适应当地产业发展，重点建设相关专业群，学校现有全日制高职专业44个，在校生规模最大的两个专业大类为财经商贸大类和电子信息大类。其中财经商贸大类（51.88%）、电子信息大类（14.6%）、土木建筑大类（7.8%）、旅游大类（8.93%）、交通运输大类（2.47%）、公共管理与服务大类（3.42%）、文化艺术大类（1.29%）、新闻传播大类（1.16%）、教育与体育大类（4.92%）、能源动力与材料大类（0.27%）、装备制造大类（3.24%）。2019年招生专业数43个。</w:t>
      </w:r>
    </w:p>
    <w:p>
      <w:pPr>
        <w:widowControl/>
        <w:spacing w:line="360" w:lineRule="auto"/>
        <w:jc w:val="center"/>
        <w:rPr>
          <w:rFonts w:hint="eastAsia" w:ascii="宋体" w:hAnsi="宋体" w:eastAsia="宋体" w:cs="宋体"/>
          <w:b/>
          <w:color w:val="000000"/>
          <w:kern w:val="0"/>
          <w:sz w:val="28"/>
          <w:szCs w:val="28"/>
          <w:lang w:eastAsia="zh-CN" w:bidi="ar"/>
        </w:rPr>
      </w:pPr>
      <w:r>
        <w:rPr>
          <w:rFonts w:hint="eastAsia" w:ascii="宋体" w:hAnsi="宋体" w:eastAsia="宋体" w:cs="宋体"/>
          <w:b/>
          <w:color w:val="000000"/>
          <w:kern w:val="0"/>
          <w:sz w:val="28"/>
          <w:szCs w:val="28"/>
          <w:lang w:eastAsia="zh-CN" w:bidi="ar"/>
        </w:rPr>
        <w:drawing>
          <wp:inline distT="0" distB="0" distL="114300" distR="114300">
            <wp:extent cx="5271135" cy="3027680"/>
            <wp:effectExtent l="0" t="0" r="5715" b="1270"/>
            <wp:docPr id="1" name="图片 1" descr="QQ图片2020101315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1013151821"/>
                    <pic:cNvPicPr>
                      <a:picLocks noChangeAspect="1"/>
                    </pic:cNvPicPr>
                  </pic:nvPicPr>
                  <pic:blipFill>
                    <a:blip r:embed="rId15"/>
                    <a:stretch>
                      <a:fillRect/>
                    </a:stretch>
                  </pic:blipFill>
                  <pic:spPr>
                    <a:xfrm>
                      <a:off x="0" y="0"/>
                      <a:ext cx="5271135" cy="3027680"/>
                    </a:xfrm>
                    <a:prstGeom prst="rect">
                      <a:avLst/>
                    </a:prstGeom>
                  </pic:spPr>
                </pic:pic>
              </a:graphicData>
            </a:graphic>
          </wp:inline>
        </w:drawing>
      </w:r>
    </w:p>
    <w:p>
      <w:pPr>
        <w:widowControl/>
        <w:spacing w:line="360" w:lineRule="auto"/>
        <w:jc w:val="center"/>
        <w:rPr>
          <w:rFonts w:hint="eastAsia" w:ascii="宋体" w:hAnsi="宋体" w:cs="宋体"/>
          <w:b/>
          <w:color w:val="000000"/>
          <w:kern w:val="0"/>
          <w:sz w:val="28"/>
          <w:szCs w:val="28"/>
          <w:lang w:bidi="ar"/>
        </w:rPr>
      </w:pPr>
      <w:r>
        <w:rPr>
          <w:rFonts w:hint="eastAsia" w:ascii="宋体" w:hAnsi="宋体" w:cs="宋体"/>
          <w:b/>
          <w:bCs w:val="0"/>
          <w:color w:val="000000"/>
          <w:kern w:val="0"/>
          <w:sz w:val="24"/>
          <w:szCs w:val="24"/>
          <w:lang w:eastAsia="zh-CN" w:bidi="ar"/>
        </w:rPr>
        <w:t>图</w:t>
      </w:r>
      <w:r>
        <w:rPr>
          <w:rFonts w:hint="eastAsia" w:ascii="宋体" w:hAnsi="宋体" w:cs="宋体"/>
          <w:b/>
          <w:bCs w:val="0"/>
          <w:color w:val="000000"/>
          <w:kern w:val="0"/>
          <w:sz w:val="24"/>
          <w:szCs w:val="24"/>
          <w:lang w:val="en-US" w:eastAsia="zh-CN" w:bidi="ar"/>
        </w:rPr>
        <w:t>7  在校生专业大类分布图</w:t>
      </w:r>
    </w:p>
    <w:p>
      <w:pPr>
        <w:widowControl/>
        <w:spacing w:line="360" w:lineRule="auto"/>
        <w:jc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表22  2019 年学校专业生均数与全国</w:t>
      </w:r>
      <w:r>
        <w:rPr>
          <w:rFonts w:hint="eastAsia" w:ascii="宋体" w:hAnsi="宋体" w:cs="宋体"/>
          <w:b/>
          <w:color w:val="000000"/>
          <w:kern w:val="0"/>
          <w:sz w:val="24"/>
          <w:szCs w:val="24"/>
          <w:lang w:eastAsia="zh-CN" w:bidi="ar"/>
        </w:rPr>
        <w:t>同</w:t>
      </w:r>
      <w:r>
        <w:rPr>
          <w:rFonts w:hint="eastAsia" w:ascii="宋体" w:hAnsi="宋体" w:cs="宋体"/>
          <w:b/>
          <w:color w:val="000000"/>
          <w:kern w:val="0"/>
          <w:sz w:val="24"/>
          <w:szCs w:val="24"/>
          <w:lang w:bidi="ar"/>
        </w:rPr>
        <w:t>类院校比较</w:t>
      </w:r>
      <w:r>
        <w:rPr>
          <w:rFonts w:hint="eastAsia" w:ascii="宋体" w:hAnsi="宋体" w:cs="宋体"/>
          <w:b/>
          <w:color w:val="000000"/>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7"/>
        <w:gridCol w:w="1250"/>
        <w:gridCol w:w="1325"/>
        <w:gridCol w:w="114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noWrap w:val="0"/>
            <w:vAlign w:val="top"/>
          </w:tcPr>
          <w:p>
            <w:pPr>
              <w:widowControl/>
              <w:ind w:firstLine="2083" w:firstLineChars="9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25400</wp:posOffset>
                      </wp:positionV>
                      <wp:extent cx="2322830" cy="355600"/>
                      <wp:effectExtent l="635" t="4445" r="635" b="20955"/>
                      <wp:wrapNone/>
                      <wp:docPr id="11" name="直接箭头连接符 11"/>
                      <wp:cNvGraphicFramePr/>
                      <a:graphic xmlns:a="http://schemas.openxmlformats.org/drawingml/2006/main">
                        <a:graphicData uri="http://schemas.microsoft.com/office/word/2010/wordprocessingShape">
                          <wps:wsp>
                            <wps:cNvCnPr/>
                            <wps:spPr>
                              <a:xfrm>
                                <a:off x="0" y="0"/>
                                <a:ext cx="2322830" cy="355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2pt;height:28pt;width:182.9pt;z-index:251667456;mso-width-relative:page;mso-height-relative:page;" filled="f" stroked="t" coordsize="21600,21600" o:gfxdata="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hR0w&#10;1gAAAAcBAAAPAAAAAAAAAAEAIAAAACIAAABkcnMvZG93bnJldi54bWxQSwECFAAUAAAACACHTuJA&#10;gAW8XOoBAAClAwAADgAAAAAAAAABACAAAAAlAQAAZHJzL2Uyb0RvYy54bWxQSwUGAAAAAAYABgBZ&#10;AQAAgQU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250"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学校</w:t>
            </w:r>
          </w:p>
          <w:p>
            <w:pPr>
              <w:widowControl/>
              <w:jc w:val="center"/>
              <w:rPr>
                <w:rFonts w:hint="eastAsia" w:ascii="宋体" w:hAnsi="宋体" w:cs="宋体"/>
                <w:b/>
                <w:kern w:val="0"/>
                <w:szCs w:val="21"/>
                <w:lang w:bidi="ar"/>
              </w:rPr>
            </w:pPr>
            <w:r>
              <w:rPr>
                <w:rFonts w:hint="eastAsia" w:ascii="宋体" w:hAnsi="宋体" w:cs="宋体"/>
                <w:b/>
                <w:kern w:val="0"/>
                <w:szCs w:val="21"/>
                <w:lang w:bidi="ar"/>
              </w:rPr>
              <w:t>指标值</w:t>
            </w:r>
          </w:p>
        </w:tc>
        <w:tc>
          <w:tcPr>
            <w:tcW w:w="132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146"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109"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27"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2019 专业生均数（人/专业）</w:t>
            </w:r>
          </w:p>
        </w:tc>
        <w:tc>
          <w:tcPr>
            <w:tcW w:w="1250" w:type="dxa"/>
            <w:noWrap w:val="0"/>
            <w:vAlign w:val="center"/>
          </w:tcPr>
          <w:p>
            <w:pPr>
              <w:widowControl/>
              <w:spacing w:line="360" w:lineRule="auto"/>
              <w:jc w:val="center"/>
              <w:rPr>
                <w:rFonts w:hint="eastAsia"/>
                <w:kern w:val="0"/>
                <w:szCs w:val="21"/>
                <w:lang w:bidi="ar"/>
              </w:rPr>
            </w:pPr>
            <w:r>
              <w:rPr>
                <w:rFonts w:hint="eastAsia"/>
                <w:kern w:val="0"/>
                <w:szCs w:val="21"/>
                <w:lang w:bidi="ar"/>
              </w:rPr>
              <w:t>167.48</w:t>
            </w:r>
          </w:p>
        </w:tc>
        <w:tc>
          <w:tcPr>
            <w:tcW w:w="1325" w:type="dxa"/>
            <w:noWrap w:val="0"/>
            <w:vAlign w:val="center"/>
          </w:tcPr>
          <w:p>
            <w:pPr>
              <w:widowControl/>
              <w:spacing w:line="360" w:lineRule="auto"/>
              <w:jc w:val="center"/>
              <w:rPr>
                <w:rFonts w:hint="eastAsia"/>
                <w:kern w:val="0"/>
                <w:szCs w:val="21"/>
                <w:lang w:bidi="ar"/>
              </w:rPr>
            </w:pPr>
            <w:r>
              <w:rPr>
                <w:rFonts w:hint="eastAsia"/>
                <w:kern w:val="0"/>
                <w:szCs w:val="21"/>
                <w:lang w:bidi="ar"/>
              </w:rPr>
              <w:t>225.52</w:t>
            </w:r>
          </w:p>
        </w:tc>
        <w:tc>
          <w:tcPr>
            <w:tcW w:w="1146" w:type="dxa"/>
            <w:noWrap w:val="0"/>
            <w:vAlign w:val="center"/>
          </w:tcPr>
          <w:p>
            <w:pPr>
              <w:widowControl/>
              <w:spacing w:line="360" w:lineRule="auto"/>
              <w:jc w:val="center"/>
              <w:rPr>
                <w:rFonts w:hint="eastAsia"/>
                <w:kern w:val="0"/>
                <w:szCs w:val="21"/>
                <w:lang w:bidi="ar"/>
              </w:rPr>
            </w:pPr>
            <w:r>
              <w:rPr>
                <w:rFonts w:hint="eastAsia"/>
                <w:kern w:val="0"/>
                <w:szCs w:val="21"/>
                <w:lang w:bidi="ar"/>
              </w:rPr>
              <w:t>247.72</w:t>
            </w:r>
          </w:p>
        </w:tc>
        <w:tc>
          <w:tcPr>
            <w:tcW w:w="1109" w:type="dxa"/>
            <w:noWrap w:val="0"/>
            <w:vAlign w:val="center"/>
          </w:tcPr>
          <w:p>
            <w:pPr>
              <w:widowControl/>
              <w:spacing w:line="360" w:lineRule="auto"/>
              <w:jc w:val="center"/>
              <w:rPr>
                <w:rFonts w:hint="eastAsia"/>
                <w:kern w:val="0"/>
                <w:szCs w:val="21"/>
                <w:lang w:bidi="ar"/>
              </w:rPr>
            </w:pPr>
            <w:r>
              <w:rPr>
                <w:rFonts w:hint="eastAsia"/>
                <w:kern w:val="0"/>
                <w:szCs w:val="21"/>
                <w:lang w:bidi="ar"/>
              </w:rPr>
              <w:t>253.40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27"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本校相对其他院校增减量（人/专业）</w:t>
            </w:r>
          </w:p>
        </w:tc>
        <w:tc>
          <w:tcPr>
            <w:tcW w:w="1250"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325" w:type="dxa"/>
            <w:noWrap w:val="0"/>
            <w:vAlign w:val="center"/>
          </w:tcPr>
          <w:p>
            <w:pPr>
              <w:widowControl/>
              <w:spacing w:line="360" w:lineRule="auto"/>
              <w:jc w:val="center"/>
              <w:rPr>
                <w:rFonts w:hint="eastAsia"/>
                <w:kern w:val="0"/>
                <w:szCs w:val="21"/>
                <w:lang w:bidi="ar"/>
              </w:rPr>
            </w:pPr>
            <w:r>
              <w:rPr>
                <w:rFonts w:hint="eastAsia"/>
                <w:kern w:val="0"/>
                <w:szCs w:val="21"/>
                <w:lang w:bidi="ar"/>
              </w:rPr>
              <w:t>-25.74</w:t>
            </w:r>
          </w:p>
        </w:tc>
        <w:tc>
          <w:tcPr>
            <w:tcW w:w="1146" w:type="dxa"/>
            <w:noWrap w:val="0"/>
            <w:vAlign w:val="center"/>
          </w:tcPr>
          <w:p>
            <w:pPr>
              <w:widowControl/>
              <w:spacing w:line="360" w:lineRule="auto"/>
              <w:jc w:val="center"/>
              <w:rPr>
                <w:rFonts w:hint="eastAsia"/>
                <w:kern w:val="0"/>
                <w:szCs w:val="21"/>
                <w:lang w:bidi="ar"/>
              </w:rPr>
            </w:pPr>
            <w:r>
              <w:rPr>
                <w:rFonts w:hint="eastAsia"/>
                <w:kern w:val="0"/>
                <w:szCs w:val="21"/>
                <w:lang w:bidi="ar"/>
              </w:rPr>
              <w:t>-32.39</w:t>
            </w:r>
          </w:p>
        </w:tc>
        <w:tc>
          <w:tcPr>
            <w:tcW w:w="1109" w:type="dxa"/>
            <w:noWrap w:val="0"/>
            <w:vAlign w:val="center"/>
          </w:tcPr>
          <w:p>
            <w:pPr>
              <w:widowControl/>
              <w:spacing w:line="360" w:lineRule="auto"/>
              <w:jc w:val="center"/>
              <w:rPr>
                <w:rFonts w:hint="eastAsia"/>
                <w:kern w:val="0"/>
                <w:szCs w:val="21"/>
                <w:lang w:bidi="ar"/>
              </w:rPr>
            </w:pPr>
            <w:r>
              <w:rPr>
                <w:rFonts w:hint="eastAsia"/>
                <w:kern w:val="0"/>
                <w:szCs w:val="21"/>
                <w:lang w:bidi="ar"/>
              </w:rPr>
              <w:t>-33.91</w:t>
            </w:r>
          </w:p>
        </w:tc>
      </w:tr>
    </w:tbl>
    <w:p>
      <w:pPr>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生计划完成质量。学校根据行业、社会需求和办学特色优势，科学制定招生计划，积极开展招生改革，建立了多形式、多渠道的招生形式。现主要有普通高考、自主招生、三二转段等招生渠道。2019年的三次扩招工作中共有30700人向我校提出入学申请，通过严格测试共录取14429人，最终报到注册13281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附表9     统招招生完成质量统计分析</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241"/>
        <w:gridCol w:w="1041"/>
        <w:gridCol w:w="1897"/>
        <w:gridCol w:w="120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5"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年度</w:t>
            </w:r>
          </w:p>
        </w:tc>
        <w:tc>
          <w:tcPr>
            <w:tcW w:w="1241"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招生计划数</w:t>
            </w:r>
          </w:p>
        </w:tc>
        <w:tc>
          <w:tcPr>
            <w:tcW w:w="1041"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报名数</w:t>
            </w:r>
          </w:p>
        </w:tc>
        <w:tc>
          <w:tcPr>
            <w:tcW w:w="1897" w:type="dxa"/>
          </w:tcPr>
          <w:p>
            <w:pPr>
              <w:jc w:val="center"/>
              <w:rPr>
                <w:rFonts w:hint="eastAsia"/>
                <w:b/>
                <w:bCs/>
                <w:sz w:val="18"/>
                <w:szCs w:val="18"/>
                <w:vertAlign w:val="baseline"/>
                <w:lang w:val="en-US" w:eastAsia="zh-CN"/>
              </w:rPr>
            </w:pPr>
            <w:r>
              <w:rPr>
                <w:rFonts w:hint="eastAsia"/>
                <w:b/>
                <w:bCs/>
                <w:sz w:val="18"/>
                <w:szCs w:val="18"/>
                <w:vertAlign w:val="baseline"/>
                <w:lang w:val="en-US" w:eastAsia="zh-CN"/>
              </w:rPr>
              <w:t>报考率</w:t>
            </w:r>
          </w:p>
          <w:p>
            <w:pPr>
              <w:jc w:val="center"/>
              <w:rPr>
                <w:rFonts w:hint="eastAsia"/>
                <w:b/>
                <w:bCs/>
                <w:sz w:val="18"/>
                <w:szCs w:val="18"/>
                <w:vertAlign w:val="baseline"/>
                <w:lang w:val="en-US" w:eastAsia="zh-CN"/>
              </w:rPr>
            </w:pPr>
            <w:r>
              <w:rPr>
                <w:rFonts w:hint="eastAsia"/>
                <w:b/>
                <w:bCs/>
                <w:sz w:val="18"/>
                <w:szCs w:val="18"/>
                <w:vertAlign w:val="baseline"/>
                <w:lang w:val="en-US" w:eastAsia="zh-CN"/>
              </w:rPr>
              <w:t>（报考数/计划数）</w:t>
            </w:r>
          </w:p>
        </w:tc>
        <w:tc>
          <w:tcPr>
            <w:tcW w:w="1200" w:type="dxa"/>
            <w:vAlign w:val="top"/>
          </w:tcPr>
          <w:p>
            <w:pPr>
              <w:jc w:val="center"/>
              <w:rPr>
                <w:rFonts w:hint="eastAsia"/>
                <w:b/>
                <w:bCs/>
                <w:sz w:val="18"/>
                <w:szCs w:val="18"/>
                <w:vertAlign w:val="baseline"/>
                <w:lang w:val="en-US" w:eastAsia="zh-CN"/>
              </w:rPr>
            </w:pPr>
            <w:r>
              <w:rPr>
                <w:rFonts w:hint="eastAsia"/>
                <w:b/>
                <w:bCs/>
                <w:sz w:val="18"/>
                <w:szCs w:val="18"/>
                <w:vertAlign w:val="baseline"/>
                <w:lang w:val="en-US" w:eastAsia="zh-CN"/>
              </w:rPr>
              <w:t>实际招生数</w:t>
            </w:r>
          </w:p>
        </w:tc>
        <w:tc>
          <w:tcPr>
            <w:tcW w:w="1813" w:type="dxa"/>
            <w:vAlign w:val="top"/>
          </w:tcPr>
          <w:p>
            <w:pPr>
              <w:jc w:val="center"/>
              <w:rPr>
                <w:rFonts w:hint="eastAsia"/>
                <w:b/>
                <w:bCs/>
                <w:sz w:val="18"/>
                <w:szCs w:val="18"/>
                <w:vertAlign w:val="baseline"/>
                <w:lang w:val="en-US" w:eastAsia="zh-CN"/>
              </w:rPr>
            </w:pPr>
            <w:r>
              <w:rPr>
                <w:rFonts w:hint="eastAsia"/>
                <w:b/>
                <w:bCs/>
                <w:sz w:val="18"/>
                <w:szCs w:val="18"/>
                <w:vertAlign w:val="baseline"/>
                <w:lang w:val="en-US" w:eastAsia="zh-CN"/>
              </w:rPr>
              <w:t>完成率</w:t>
            </w:r>
          </w:p>
          <w:p>
            <w:pPr>
              <w:jc w:val="center"/>
              <w:rPr>
                <w:rFonts w:hint="eastAsia"/>
                <w:b/>
                <w:bCs/>
                <w:sz w:val="18"/>
                <w:szCs w:val="18"/>
                <w:vertAlign w:val="baseline"/>
                <w:lang w:val="en-US" w:eastAsia="zh-CN"/>
              </w:rPr>
            </w:pPr>
            <w:r>
              <w:rPr>
                <w:rFonts w:hint="eastAsia"/>
                <w:b/>
                <w:bCs/>
                <w:sz w:val="18"/>
                <w:szCs w:val="18"/>
                <w:vertAlign w:val="baseline"/>
                <w:lang w:val="en-US" w:eastAsia="zh-CN"/>
              </w:rPr>
              <w:t>（招生数/计划数）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5"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2017</w:t>
            </w:r>
            <w:r>
              <w:rPr>
                <w:rFonts w:hint="eastAsia"/>
                <w:sz w:val="18"/>
                <w:szCs w:val="18"/>
                <w:vertAlign w:val="baseline"/>
                <w:lang w:val="en-US" w:eastAsia="zh-CN"/>
              </w:rPr>
              <w:t>年</w:t>
            </w:r>
          </w:p>
        </w:tc>
        <w:tc>
          <w:tcPr>
            <w:tcW w:w="12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2651</w:t>
            </w:r>
          </w:p>
        </w:tc>
        <w:tc>
          <w:tcPr>
            <w:tcW w:w="10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1600</w:t>
            </w:r>
          </w:p>
        </w:tc>
        <w:tc>
          <w:tcPr>
            <w:tcW w:w="1897"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60.4%</w:t>
            </w:r>
          </w:p>
        </w:tc>
        <w:tc>
          <w:tcPr>
            <w:tcW w:w="1200"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1600</w:t>
            </w:r>
          </w:p>
        </w:tc>
        <w:tc>
          <w:tcPr>
            <w:tcW w:w="1813"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5"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2018</w:t>
            </w:r>
            <w:r>
              <w:rPr>
                <w:rFonts w:hint="eastAsia"/>
                <w:sz w:val="18"/>
                <w:szCs w:val="18"/>
                <w:vertAlign w:val="baseline"/>
                <w:lang w:val="en-US" w:eastAsia="zh-CN"/>
              </w:rPr>
              <w:t>年</w:t>
            </w:r>
          </w:p>
        </w:tc>
        <w:tc>
          <w:tcPr>
            <w:tcW w:w="12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2992</w:t>
            </w:r>
          </w:p>
        </w:tc>
        <w:tc>
          <w:tcPr>
            <w:tcW w:w="10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1510</w:t>
            </w:r>
          </w:p>
        </w:tc>
        <w:tc>
          <w:tcPr>
            <w:tcW w:w="1897"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50.5%</w:t>
            </w:r>
          </w:p>
        </w:tc>
        <w:tc>
          <w:tcPr>
            <w:tcW w:w="1200"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1510</w:t>
            </w:r>
          </w:p>
        </w:tc>
        <w:tc>
          <w:tcPr>
            <w:tcW w:w="1813"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65"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2019</w:t>
            </w:r>
            <w:r>
              <w:rPr>
                <w:rFonts w:hint="eastAsia"/>
                <w:sz w:val="18"/>
                <w:szCs w:val="18"/>
                <w:vertAlign w:val="baseline"/>
                <w:lang w:val="en-US" w:eastAsia="zh-CN"/>
              </w:rPr>
              <w:t>年</w:t>
            </w:r>
          </w:p>
        </w:tc>
        <w:tc>
          <w:tcPr>
            <w:tcW w:w="12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2708</w:t>
            </w:r>
          </w:p>
        </w:tc>
        <w:tc>
          <w:tcPr>
            <w:tcW w:w="1041"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1376</w:t>
            </w:r>
          </w:p>
        </w:tc>
        <w:tc>
          <w:tcPr>
            <w:tcW w:w="1897"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50.8%</w:t>
            </w:r>
          </w:p>
        </w:tc>
        <w:tc>
          <w:tcPr>
            <w:tcW w:w="1200"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1376</w:t>
            </w:r>
          </w:p>
        </w:tc>
        <w:tc>
          <w:tcPr>
            <w:tcW w:w="1813" w:type="dxa"/>
            <w:vAlign w:val="top"/>
          </w:tcPr>
          <w:p>
            <w:pPr>
              <w:jc w:val="center"/>
              <w:rPr>
                <w:rFonts w:hint="eastAsia"/>
                <w:sz w:val="18"/>
                <w:szCs w:val="18"/>
                <w:vertAlign w:val="baseline"/>
                <w:lang w:val="en-US" w:eastAsia="zh-CN"/>
              </w:rPr>
            </w:pPr>
            <w:r>
              <w:rPr>
                <w:rFonts w:hint="default"/>
                <w:sz w:val="18"/>
                <w:szCs w:val="18"/>
                <w:vertAlign w:val="baseline"/>
                <w:lang w:val="en-US" w:eastAsia="zh-CN"/>
              </w:rPr>
              <w:t>50.8%</w:t>
            </w:r>
          </w:p>
        </w:tc>
      </w:tr>
    </w:tbl>
    <w:p>
      <w:pPr>
        <w:pStyle w:val="2"/>
        <w:rPr>
          <w:rFonts w:hint="eastAsia"/>
          <w:lang w:val="en-US" w:eastAsia="zh-CN"/>
        </w:rPr>
      </w:pPr>
    </w:p>
    <w:p>
      <w:pPr>
        <w:widowControl/>
        <w:spacing w:line="360" w:lineRule="auto"/>
        <w:jc w:val="center"/>
      </w:pPr>
      <w:r>
        <w:drawing>
          <wp:inline distT="0" distB="0" distL="114300" distR="114300">
            <wp:extent cx="4716145" cy="2883535"/>
            <wp:effectExtent l="0" t="0" r="8255" b="1206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6"/>
                    <a:stretch>
                      <a:fillRect/>
                    </a:stretch>
                  </pic:blipFill>
                  <pic:spPr>
                    <a:xfrm>
                      <a:off x="0" y="0"/>
                      <a:ext cx="4716145" cy="2883535"/>
                    </a:xfrm>
                    <a:prstGeom prst="rect">
                      <a:avLst/>
                    </a:prstGeom>
                    <a:noFill/>
                    <a:ln>
                      <a:noFill/>
                    </a:ln>
                  </pic:spPr>
                </pic:pic>
              </a:graphicData>
            </a:graphic>
          </wp:inline>
        </w:drawing>
      </w:r>
    </w:p>
    <w:p>
      <w:pPr>
        <w:pStyle w:val="2"/>
        <w:ind w:left="0" w:leftChars="0"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eastAsia="zh-CN"/>
        </w:rPr>
        <w:t>图</w:t>
      </w:r>
      <w:r>
        <w:rPr>
          <w:rFonts w:hint="eastAsia" w:asciiTheme="minorEastAsia" w:hAnsiTheme="minorEastAsia" w:eastAsiaTheme="minorEastAsia" w:cstheme="minorEastAsia"/>
          <w:b/>
          <w:bCs/>
          <w:sz w:val="18"/>
          <w:szCs w:val="18"/>
          <w:lang w:val="en-US" w:eastAsia="zh-CN"/>
        </w:rPr>
        <w:t>8    统招招生完成质量统计分析</w:t>
      </w:r>
    </w:p>
    <w:tbl>
      <w:tblPr>
        <w:tblStyle w:val="12"/>
        <w:tblpPr w:leftFromText="180" w:rightFromText="180" w:vertAnchor="text" w:horzAnchor="page" w:tblpXSpec="center" w:tblpY="746"/>
        <w:tblOverlap w:val="never"/>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326"/>
        <w:gridCol w:w="894"/>
        <w:gridCol w:w="1840"/>
        <w:gridCol w:w="128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6"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年度</w:t>
            </w:r>
          </w:p>
        </w:tc>
        <w:tc>
          <w:tcPr>
            <w:tcW w:w="1326"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招生计划数</w:t>
            </w:r>
          </w:p>
        </w:tc>
        <w:tc>
          <w:tcPr>
            <w:tcW w:w="894"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报名数</w:t>
            </w:r>
          </w:p>
        </w:tc>
        <w:tc>
          <w:tcPr>
            <w:tcW w:w="1840"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报考率</w:t>
            </w:r>
          </w:p>
          <w:p>
            <w:pPr>
              <w:jc w:val="center"/>
              <w:rPr>
                <w:rFonts w:hint="eastAsia"/>
                <w:b/>
                <w:bCs/>
                <w:sz w:val="18"/>
                <w:szCs w:val="18"/>
                <w:vertAlign w:val="baseline"/>
                <w:lang w:val="en-US" w:eastAsia="zh-CN"/>
              </w:rPr>
            </w:pPr>
            <w:r>
              <w:rPr>
                <w:rFonts w:hint="eastAsia"/>
                <w:b/>
                <w:bCs/>
                <w:sz w:val="18"/>
                <w:szCs w:val="18"/>
                <w:vertAlign w:val="baseline"/>
                <w:lang w:val="en-US" w:eastAsia="zh-CN"/>
              </w:rPr>
              <w:t>（报考数/计划数）</w:t>
            </w:r>
          </w:p>
        </w:tc>
        <w:tc>
          <w:tcPr>
            <w:tcW w:w="1289"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实际招生数</w:t>
            </w:r>
          </w:p>
        </w:tc>
        <w:tc>
          <w:tcPr>
            <w:tcW w:w="1863"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完成率</w:t>
            </w:r>
          </w:p>
          <w:p>
            <w:pPr>
              <w:jc w:val="center"/>
              <w:rPr>
                <w:rFonts w:hint="eastAsia"/>
                <w:b/>
                <w:bCs/>
                <w:sz w:val="18"/>
                <w:szCs w:val="18"/>
                <w:vertAlign w:val="baseline"/>
                <w:lang w:val="en-US" w:eastAsia="zh-CN"/>
              </w:rPr>
            </w:pPr>
            <w:r>
              <w:rPr>
                <w:rFonts w:hint="eastAsia"/>
                <w:b/>
                <w:bCs/>
                <w:sz w:val="18"/>
                <w:szCs w:val="18"/>
                <w:vertAlign w:val="baseline"/>
                <w:lang w:val="en-US" w:eastAsia="zh-CN"/>
              </w:rPr>
              <w:t>（招生数/计划数）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2017年</w:t>
            </w:r>
          </w:p>
        </w:tc>
        <w:tc>
          <w:tcPr>
            <w:tcW w:w="132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3700</w:t>
            </w:r>
          </w:p>
        </w:tc>
        <w:tc>
          <w:tcPr>
            <w:tcW w:w="894"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6886</w:t>
            </w:r>
          </w:p>
        </w:tc>
        <w:tc>
          <w:tcPr>
            <w:tcW w:w="1840"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186.1%</w:t>
            </w:r>
          </w:p>
        </w:tc>
        <w:tc>
          <w:tcPr>
            <w:tcW w:w="1289"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1049</w:t>
            </w:r>
          </w:p>
        </w:tc>
        <w:tc>
          <w:tcPr>
            <w:tcW w:w="1863"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2018年</w:t>
            </w:r>
          </w:p>
        </w:tc>
        <w:tc>
          <w:tcPr>
            <w:tcW w:w="132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3650</w:t>
            </w:r>
          </w:p>
        </w:tc>
        <w:tc>
          <w:tcPr>
            <w:tcW w:w="894"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4902</w:t>
            </w:r>
          </w:p>
        </w:tc>
        <w:tc>
          <w:tcPr>
            <w:tcW w:w="1840"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134.3%</w:t>
            </w:r>
          </w:p>
        </w:tc>
        <w:tc>
          <w:tcPr>
            <w:tcW w:w="1289"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658</w:t>
            </w:r>
          </w:p>
        </w:tc>
        <w:tc>
          <w:tcPr>
            <w:tcW w:w="1863"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0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2019年</w:t>
            </w:r>
          </w:p>
        </w:tc>
        <w:tc>
          <w:tcPr>
            <w:tcW w:w="1326"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4000</w:t>
            </w:r>
          </w:p>
        </w:tc>
        <w:tc>
          <w:tcPr>
            <w:tcW w:w="894"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6493</w:t>
            </w:r>
          </w:p>
        </w:tc>
        <w:tc>
          <w:tcPr>
            <w:tcW w:w="1840"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162.3%</w:t>
            </w:r>
          </w:p>
        </w:tc>
        <w:tc>
          <w:tcPr>
            <w:tcW w:w="1289"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1292</w:t>
            </w:r>
          </w:p>
        </w:tc>
        <w:tc>
          <w:tcPr>
            <w:tcW w:w="1863" w:type="dxa"/>
            <w:noWrap w:val="0"/>
            <w:vAlign w:val="top"/>
          </w:tcPr>
          <w:p>
            <w:pPr>
              <w:jc w:val="center"/>
              <w:rPr>
                <w:rFonts w:hint="eastAsia"/>
                <w:sz w:val="18"/>
                <w:szCs w:val="18"/>
                <w:vertAlign w:val="baseline"/>
                <w:lang w:val="en-US" w:eastAsia="zh-CN"/>
              </w:rPr>
            </w:pPr>
            <w:r>
              <w:rPr>
                <w:rFonts w:hint="eastAsia"/>
                <w:sz w:val="18"/>
                <w:szCs w:val="18"/>
                <w:vertAlign w:val="baseline"/>
                <w:lang w:val="en-US" w:eastAsia="zh-CN"/>
              </w:rPr>
              <w:t>36.9%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附表10  分类招生完成质量统计分析</w:t>
      </w:r>
    </w:p>
    <w:p>
      <w:pPr>
        <w:pStyle w:val="2"/>
        <w:rPr>
          <w:rFonts w:hint="eastAsia"/>
          <w:lang w:val="en-US" w:eastAsia="zh-CN"/>
        </w:rP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591050" cy="2762250"/>
            <wp:effectExtent l="0" t="0" r="0" b="0"/>
            <wp:docPr id="31" name="图片 3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4"/>
                    <pic:cNvPicPr>
                      <a:picLocks noChangeAspect="1"/>
                    </pic:cNvPicPr>
                  </pic:nvPicPr>
                  <pic:blipFill>
                    <a:blip r:embed="rId17"/>
                    <a:stretch>
                      <a:fillRect/>
                    </a:stretch>
                  </pic:blipFill>
                  <pic:spPr>
                    <a:xfrm>
                      <a:off x="0" y="0"/>
                      <a:ext cx="4591050" cy="2762250"/>
                    </a:xfrm>
                    <a:prstGeom prst="rect">
                      <a:avLst/>
                    </a:prstGeom>
                  </pic:spPr>
                </pic:pic>
              </a:graphicData>
            </a:graphic>
          </wp:inline>
        </w:drawing>
      </w:r>
    </w:p>
    <w:p>
      <w:pPr>
        <w:pStyle w:val="2"/>
        <w:ind w:left="0" w:leftChars="0" w:firstLine="0" w:firstLineChars="0"/>
        <w:jc w:val="center"/>
        <w:rPr>
          <w:rFonts w:hint="default"/>
          <w:sz w:val="18"/>
          <w:szCs w:val="18"/>
          <w:lang w:val="en-US" w:eastAsia="zh-CN"/>
        </w:rPr>
      </w:pPr>
      <w:r>
        <w:rPr>
          <w:rFonts w:hint="eastAsia"/>
          <w:b/>
          <w:bCs/>
          <w:sz w:val="18"/>
          <w:szCs w:val="18"/>
          <w:lang w:eastAsia="zh-CN"/>
        </w:rPr>
        <w:t>图</w:t>
      </w:r>
      <w:r>
        <w:rPr>
          <w:rFonts w:hint="eastAsia"/>
          <w:b/>
          <w:bCs/>
          <w:sz w:val="18"/>
          <w:szCs w:val="18"/>
          <w:lang w:val="en-US" w:eastAsia="zh-CN"/>
        </w:rPr>
        <w:t>9     分类招生完成质量统计分析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附表11   总体招生完成质量统计分析</w:t>
      </w:r>
    </w:p>
    <w:tbl>
      <w:tblPr>
        <w:tblStyle w:val="12"/>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400"/>
        <w:gridCol w:w="990"/>
        <w:gridCol w:w="1612"/>
        <w:gridCol w:w="140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2"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年度</w:t>
            </w:r>
          </w:p>
        </w:tc>
        <w:tc>
          <w:tcPr>
            <w:tcW w:w="1400"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招生计划数</w:t>
            </w:r>
          </w:p>
        </w:tc>
        <w:tc>
          <w:tcPr>
            <w:tcW w:w="990"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报名数</w:t>
            </w:r>
          </w:p>
        </w:tc>
        <w:tc>
          <w:tcPr>
            <w:tcW w:w="1612"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报考率（报考数/计划数）</w:t>
            </w:r>
          </w:p>
        </w:tc>
        <w:tc>
          <w:tcPr>
            <w:tcW w:w="1407"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实际招生数</w:t>
            </w:r>
          </w:p>
        </w:tc>
        <w:tc>
          <w:tcPr>
            <w:tcW w:w="1585" w:type="dxa"/>
            <w:noWrap w:val="0"/>
            <w:vAlign w:val="top"/>
          </w:tcPr>
          <w:p>
            <w:pPr>
              <w:numPr>
                <w:ilvl w:val="0"/>
                <w:numId w:val="0"/>
              </w:num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完成率（招生数/计划数）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0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2017</w:t>
            </w:r>
          </w:p>
        </w:tc>
        <w:tc>
          <w:tcPr>
            <w:tcW w:w="140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3700</w:t>
            </w:r>
          </w:p>
        </w:tc>
        <w:tc>
          <w:tcPr>
            <w:tcW w:w="99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8486</w:t>
            </w:r>
          </w:p>
        </w:tc>
        <w:tc>
          <w:tcPr>
            <w:tcW w:w="161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229.4%</w:t>
            </w:r>
          </w:p>
        </w:tc>
        <w:tc>
          <w:tcPr>
            <w:tcW w:w="1407"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2649</w:t>
            </w:r>
          </w:p>
        </w:tc>
        <w:tc>
          <w:tcPr>
            <w:tcW w:w="1585"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0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2018</w:t>
            </w:r>
          </w:p>
        </w:tc>
        <w:tc>
          <w:tcPr>
            <w:tcW w:w="140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3650</w:t>
            </w:r>
          </w:p>
        </w:tc>
        <w:tc>
          <w:tcPr>
            <w:tcW w:w="99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6412</w:t>
            </w:r>
          </w:p>
        </w:tc>
        <w:tc>
          <w:tcPr>
            <w:tcW w:w="161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175.7%</w:t>
            </w:r>
          </w:p>
        </w:tc>
        <w:tc>
          <w:tcPr>
            <w:tcW w:w="1407"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2168</w:t>
            </w:r>
          </w:p>
        </w:tc>
        <w:tc>
          <w:tcPr>
            <w:tcW w:w="1585"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0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2019</w:t>
            </w:r>
          </w:p>
        </w:tc>
        <w:tc>
          <w:tcPr>
            <w:tcW w:w="140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4000</w:t>
            </w:r>
          </w:p>
        </w:tc>
        <w:tc>
          <w:tcPr>
            <w:tcW w:w="990"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7869</w:t>
            </w:r>
          </w:p>
        </w:tc>
        <w:tc>
          <w:tcPr>
            <w:tcW w:w="1612"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196.7%</w:t>
            </w:r>
          </w:p>
        </w:tc>
        <w:tc>
          <w:tcPr>
            <w:tcW w:w="1407"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2668</w:t>
            </w:r>
          </w:p>
        </w:tc>
        <w:tc>
          <w:tcPr>
            <w:tcW w:w="1585" w:type="dxa"/>
            <w:noWrap w:val="0"/>
            <w:vAlign w:val="top"/>
          </w:tcPr>
          <w:p>
            <w:pPr>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66.7%</w:t>
            </w:r>
          </w:p>
        </w:tc>
      </w:tr>
    </w:tbl>
    <w:p>
      <w:pPr>
        <w:widowControl/>
        <w:spacing w:line="360" w:lineRule="auto"/>
        <w:jc w:val="center"/>
      </w:pPr>
    </w:p>
    <w:p>
      <w:pPr>
        <w:widowControl/>
        <w:spacing w:line="360" w:lineRule="auto"/>
        <w:jc w:val="center"/>
        <w:rPr>
          <w:rFonts w:hint="eastAsia"/>
          <w:lang w:eastAsia="zh-CN"/>
        </w:rPr>
      </w:pPr>
      <w:r>
        <w:rPr>
          <w:rFonts w:hint="eastAsia" w:eastAsia="宋体"/>
          <w:lang w:eastAsia="zh-CN"/>
        </w:rPr>
        <w:drawing>
          <wp:inline distT="0" distB="0" distL="114300" distR="114300">
            <wp:extent cx="4591050" cy="2762250"/>
            <wp:effectExtent l="0" t="0" r="0" b="0"/>
            <wp:docPr id="33" name="图片 33"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5"/>
                    <pic:cNvPicPr>
                      <a:picLocks noChangeAspect="1"/>
                    </pic:cNvPicPr>
                  </pic:nvPicPr>
                  <pic:blipFill>
                    <a:blip r:embed="rId18"/>
                    <a:stretch>
                      <a:fillRect/>
                    </a:stretch>
                  </pic:blipFill>
                  <pic:spPr>
                    <a:xfrm>
                      <a:off x="0" y="0"/>
                      <a:ext cx="4591050" cy="2762250"/>
                    </a:xfrm>
                    <a:prstGeom prst="rect">
                      <a:avLst/>
                    </a:prstGeom>
                  </pic:spPr>
                </pic:pic>
              </a:graphicData>
            </a:graphic>
          </wp:inline>
        </w:drawing>
      </w:r>
    </w:p>
    <w:p>
      <w:pPr>
        <w:pStyle w:val="2"/>
        <w:ind w:left="0" w:leftChars="0" w:firstLine="0" w:firstLineChars="0"/>
        <w:jc w:val="center"/>
        <w:rPr>
          <w:rFonts w:hint="default" w:eastAsia="宋体"/>
          <w:lang w:val="en-US" w:eastAsia="zh-CN"/>
        </w:rPr>
      </w:pPr>
      <w:r>
        <w:rPr>
          <w:rFonts w:hint="eastAsia"/>
          <w:b/>
          <w:bCs/>
          <w:sz w:val="18"/>
          <w:szCs w:val="18"/>
          <w:lang w:eastAsia="zh-CN"/>
        </w:rPr>
        <w:t>图</w:t>
      </w:r>
      <w:r>
        <w:rPr>
          <w:rFonts w:hint="eastAsia"/>
          <w:b/>
          <w:bCs/>
          <w:sz w:val="18"/>
          <w:szCs w:val="18"/>
          <w:lang w:val="en-US" w:eastAsia="zh-CN"/>
        </w:rPr>
        <w:t>10   总体招生完成质量统计分析</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kern w:val="0"/>
          <w:sz w:val="28"/>
          <w:szCs w:val="28"/>
          <w:lang w:bidi="ar"/>
        </w:rPr>
      </w:pPr>
      <w:bookmarkStart w:id="38" w:name="_Toc9224"/>
      <w:r>
        <w:rPr>
          <w:rFonts w:hint="eastAsia" w:ascii="宋体" w:hAnsi="宋体" w:eastAsia="宋体" w:cs="宋体"/>
          <w:b/>
          <w:bCs/>
          <w:color w:val="000000"/>
          <w:kern w:val="0"/>
          <w:sz w:val="28"/>
          <w:szCs w:val="28"/>
          <w:lang w:bidi="ar"/>
        </w:rPr>
        <w:t>（三）向企事业单位提供技术服务情况</w:t>
      </w:r>
      <w:bookmarkEnd w:id="3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区域经济发展能力分析。学校近两年积极组织申报各级各类科研项目，先后获批立项省社科基金项目1项、省技术创新引导专项（科技厅）1项、省社科联项目8项、省教育厅项目9项等。学校注重发挥特色专业和人才优势，积极开展旅游产业、电子商务、金融服务业等方面的技术技能培训，与安康市汉滨区共建“旅游业产学研一体化扶贫基地”，争取榆林市农家乐品质提升工程科研项目，助力帮扶地区脱贫攻坚和产业转型升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向企事业单位提供技术服务情况。2019年获得横向课题7项，到账经费22.1万元，同比增长10.5%，教职工获发明专利和实用新型专利授权5项，同比增长150%。近年来，学校根据中省有关文件精神，结合实际，先后制定、修订了《科研项目管理办法》、《科研经费管理办法》、《科研创新团队建设和管理办法》、《专利管理办法》、《优秀科研成果奖励办法（试行）》和《科研项目、科研平台、科研团队等奖励办法（试行）》，拟定了《陕西工商职业学院“科技英才室”及青年科研英才团队培育支持计划实施方案（草案）》等系列制度，进一步激发了科研人员的科研活力，拓宽了校企合作领域、深化了产教融合模式，也为科研人员向企事业单位提供技术服务提供了制度保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满足政府购买服务情况。2019年学校承担陕西省发改委专项项目“一带一路背景下陕北新能源产业创新机制研究”，该项目为陕西省能源产业转型升级、优化布局等方面提供了体制机制创新的有益探索和参考建议。</w:t>
      </w:r>
    </w:p>
    <w:p>
      <w:pPr>
        <w:widowControl/>
        <w:spacing w:line="36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表23  2019 年学校向企事业单位提供技术服务情况</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1453"/>
        <w:gridCol w:w="130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79"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453"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308"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98"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 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179" w:type="dxa"/>
            <w:noWrap w:val="0"/>
            <w:vAlign w:val="top"/>
          </w:tcPr>
          <w:p>
            <w:pPr>
              <w:widowControl/>
              <w:spacing w:line="360" w:lineRule="auto"/>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技术服务到款额（万元）  </w:t>
            </w:r>
          </w:p>
        </w:tc>
        <w:tc>
          <w:tcPr>
            <w:tcW w:w="1453" w:type="dxa"/>
            <w:noWrap w:val="0"/>
            <w:vAlign w:val="center"/>
          </w:tcPr>
          <w:p>
            <w:pPr>
              <w:widowControl/>
              <w:spacing w:line="360" w:lineRule="auto"/>
              <w:jc w:val="center"/>
              <w:rPr>
                <w:rFonts w:hint="default"/>
                <w:color w:val="auto"/>
                <w:kern w:val="0"/>
                <w:szCs w:val="21"/>
                <w:lang w:val="en-US" w:eastAsia="zh-CN" w:bidi="ar"/>
              </w:rPr>
            </w:pPr>
            <w:r>
              <w:rPr>
                <w:rFonts w:hint="eastAsia"/>
                <w:color w:val="auto"/>
                <w:kern w:val="0"/>
                <w:szCs w:val="21"/>
                <w:lang w:val="en-US" w:eastAsia="zh-CN" w:bidi="ar"/>
              </w:rPr>
              <w:t>20</w:t>
            </w:r>
          </w:p>
        </w:tc>
        <w:tc>
          <w:tcPr>
            <w:tcW w:w="1308" w:type="dxa"/>
            <w:noWrap w:val="0"/>
            <w:vAlign w:val="center"/>
          </w:tcPr>
          <w:p>
            <w:pPr>
              <w:widowControl/>
              <w:spacing w:line="360" w:lineRule="auto"/>
              <w:jc w:val="center"/>
              <w:rPr>
                <w:rFonts w:hint="default"/>
                <w:color w:val="auto"/>
                <w:kern w:val="0"/>
                <w:szCs w:val="21"/>
                <w:lang w:val="en-US" w:eastAsia="zh-CN" w:bidi="ar"/>
              </w:rPr>
            </w:pPr>
            <w:r>
              <w:rPr>
                <w:rFonts w:hint="eastAsia"/>
                <w:color w:val="auto"/>
                <w:kern w:val="0"/>
                <w:szCs w:val="21"/>
                <w:lang w:val="en-US" w:eastAsia="zh-CN" w:bidi="ar"/>
              </w:rPr>
              <w:t>22.1</w:t>
            </w:r>
          </w:p>
        </w:tc>
        <w:tc>
          <w:tcPr>
            <w:tcW w:w="1598" w:type="dxa"/>
            <w:noWrap w:val="0"/>
            <w:vAlign w:val="center"/>
          </w:tcPr>
          <w:p>
            <w:pPr>
              <w:widowControl/>
              <w:spacing w:line="360" w:lineRule="auto"/>
              <w:jc w:val="center"/>
              <w:rPr>
                <w:rFonts w:hint="default" w:eastAsia="宋体"/>
                <w:color w:val="auto"/>
                <w:kern w:val="0"/>
                <w:szCs w:val="21"/>
                <w:lang w:val="en-US" w:eastAsia="zh-CN" w:bidi="ar"/>
              </w:rPr>
            </w:pPr>
            <w:r>
              <w:rPr>
                <w:rFonts w:hint="eastAsia"/>
                <w:color w:val="auto"/>
                <w:kern w:val="0"/>
                <w:szCs w:val="21"/>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79" w:type="dxa"/>
            <w:noWrap w:val="0"/>
            <w:vAlign w:val="top"/>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为合作企业年平均培训员工数（人次）</w:t>
            </w:r>
          </w:p>
        </w:tc>
        <w:tc>
          <w:tcPr>
            <w:tcW w:w="1453"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308" w:type="dxa"/>
            <w:noWrap w:val="0"/>
            <w:vAlign w:val="center"/>
          </w:tcPr>
          <w:p>
            <w:pPr>
              <w:widowControl/>
              <w:spacing w:line="360" w:lineRule="auto"/>
              <w:jc w:val="center"/>
              <w:rPr>
                <w:kern w:val="0"/>
                <w:szCs w:val="21"/>
                <w:lang w:bidi="ar"/>
              </w:rPr>
            </w:pPr>
            <w:r>
              <w:rPr>
                <w:rFonts w:hint="eastAsia"/>
                <w:kern w:val="0"/>
                <w:szCs w:val="21"/>
                <w:lang w:bidi="ar"/>
              </w:rPr>
              <w:t>1882</w:t>
            </w:r>
          </w:p>
        </w:tc>
        <w:tc>
          <w:tcPr>
            <w:tcW w:w="1598" w:type="dxa"/>
            <w:noWrap w:val="0"/>
            <w:vAlign w:val="center"/>
          </w:tcPr>
          <w:p>
            <w:pPr>
              <w:widowControl/>
              <w:spacing w:line="360" w:lineRule="auto"/>
              <w:jc w:val="center"/>
              <w:rPr>
                <w:rFonts w:hint="eastAsia"/>
                <w:kern w:val="0"/>
                <w:szCs w:val="21"/>
                <w:lang w:bidi="ar"/>
              </w:rPr>
            </w:pPr>
            <w:r>
              <w:rPr>
                <w:rFonts w:hint="eastAsia"/>
                <w:kern w:val="0"/>
                <w:szCs w:val="21"/>
                <w:lang w:bidi="ar"/>
              </w:rPr>
              <w:t>+188200</w:t>
            </w:r>
          </w:p>
        </w:tc>
      </w:tr>
    </w:tbl>
    <w:p>
      <w:pPr>
        <w:widowControl/>
        <w:spacing w:line="360" w:lineRule="auto"/>
        <w:jc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bidi="ar"/>
        </w:rPr>
        <w:t>表24  2019 年学校为企业社会技术服务到款额与全国</w:t>
      </w:r>
      <w:r>
        <w:rPr>
          <w:rFonts w:hint="eastAsia" w:ascii="宋体" w:hAnsi="宋体" w:cs="宋体"/>
          <w:b/>
          <w:color w:val="000000"/>
          <w:kern w:val="0"/>
          <w:sz w:val="24"/>
          <w:lang w:eastAsia="zh-CN" w:bidi="ar"/>
        </w:rPr>
        <w:t>同</w:t>
      </w:r>
      <w:r>
        <w:rPr>
          <w:rFonts w:hint="eastAsia" w:ascii="宋体" w:hAnsi="宋体" w:cs="宋体"/>
          <w:b/>
          <w:color w:val="000000"/>
          <w:kern w:val="0"/>
          <w:sz w:val="24"/>
          <w:lang w:bidi="ar"/>
        </w:rPr>
        <w:t>类院校比较</w:t>
      </w:r>
      <w:r>
        <w:rPr>
          <w:rFonts w:hint="eastAsia" w:ascii="宋体" w:hAnsi="宋体" w:cs="宋体"/>
          <w:b/>
          <w:color w:val="000000"/>
          <w:kern w:val="0"/>
          <w:sz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1125"/>
        <w:gridCol w:w="1125"/>
        <w:gridCol w:w="10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4" w:type="dxa"/>
            <w:noWrap w:val="0"/>
            <w:vAlign w:val="top"/>
          </w:tcPr>
          <w:p>
            <w:pPr>
              <w:widowControl/>
              <w:tabs>
                <w:tab w:val="left" w:pos="1191"/>
              </w:tabs>
              <w:ind w:firstLine="1240" w:firstLineChars="588"/>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25400</wp:posOffset>
                      </wp:positionV>
                      <wp:extent cx="2513330" cy="339090"/>
                      <wp:effectExtent l="635" t="4445" r="635" b="18415"/>
                      <wp:wrapNone/>
                      <wp:docPr id="12" name="直接箭头连接符 12"/>
                      <wp:cNvGraphicFramePr/>
                      <a:graphic xmlns:a="http://schemas.openxmlformats.org/drawingml/2006/main">
                        <a:graphicData uri="http://schemas.microsoft.com/office/word/2010/wordprocessingShape">
                          <wps:wsp>
                            <wps:cNvCnPr/>
                            <wps:spPr>
                              <a:xfrm>
                                <a:off x="0" y="0"/>
                                <a:ext cx="2513330" cy="339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2pt;height:26.7pt;width:197.9pt;z-index:251668480;mso-width-relative:page;mso-height-relative:page;" filled="f" stroked="t" coordsize="21600,21600" o:gfxdata="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0prZ&#10;1wAAAAcBAAAPAAAAAAAAAAEAIAAAACIAAABkcnMvZG93bnJldi54bWxQSwECFAAUAAAACACHTuJA&#10;14nJjukBAACl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b/>
                <w:kern w:val="0"/>
                <w:szCs w:val="21"/>
                <w:lang w:bidi="ar"/>
              </w:rPr>
              <w:tab/>
            </w:r>
            <w:r>
              <w:rPr>
                <w:rFonts w:hint="eastAsia" w:ascii="宋体" w:hAnsi="宋体" w:cs="宋体"/>
                <w:b/>
                <w:kern w:val="0"/>
                <w:szCs w:val="21"/>
                <w:lang w:bidi="ar"/>
              </w:rPr>
              <w:t xml:space="preserve">    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12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学校</w:t>
            </w:r>
          </w:p>
          <w:p>
            <w:pPr>
              <w:widowControl/>
              <w:jc w:val="center"/>
              <w:rPr>
                <w:rFonts w:hint="eastAsia" w:ascii="宋体" w:hAnsi="宋体" w:cs="宋体"/>
                <w:b/>
                <w:kern w:val="0"/>
                <w:szCs w:val="21"/>
                <w:lang w:bidi="ar"/>
              </w:rPr>
            </w:pPr>
            <w:r>
              <w:rPr>
                <w:rFonts w:hint="eastAsia" w:ascii="宋体" w:hAnsi="宋体" w:cs="宋体"/>
                <w:b/>
                <w:kern w:val="0"/>
                <w:szCs w:val="21"/>
                <w:lang w:bidi="ar"/>
              </w:rPr>
              <w:t>指标值</w:t>
            </w:r>
          </w:p>
        </w:tc>
        <w:tc>
          <w:tcPr>
            <w:tcW w:w="112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09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133"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4" w:type="dxa"/>
            <w:noWrap w:val="0"/>
            <w:vAlign w:val="center"/>
          </w:tcPr>
          <w:p>
            <w:pPr>
              <w:widowControl/>
              <w:spacing w:line="360" w:lineRule="auto"/>
              <w:jc w:val="left"/>
              <w:rPr>
                <w:rFonts w:ascii="宋体" w:hAnsi="宋体" w:cs="宋体"/>
                <w:kern w:val="0"/>
                <w:szCs w:val="21"/>
                <w:lang w:bidi="ar"/>
              </w:rPr>
            </w:pPr>
            <w:r>
              <w:rPr>
                <w:rFonts w:hint="eastAsia" w:ascii="宋体" w:hAnsi="宋体" w:cs="宋体"/>
                <w:kern w:val="0"/>
                <w:szCs w:val="21"/>
                <w:lang w:bidi="ar"/>
              </w:rPr>
              <w:t>2019 学</w:t>
            </w:r>
            <w:r>
              <w:rPr>
                <w:rFonts w:hint="eastAsia" w:ascii="宋体" w:hAnsi="宋体" w:cs="宋体"/>
                <w:kern w:val="0"/>
                <w:szCs w:val="21"/>
                <w:lang w:val="en-US" w:eastAsia="zh-CN" w:bidi="ar"/>
              </w:rPr>
              <w:t>校</w:t>
            </w:r>
            <w:r>
              <w:rPr>
                <w:rFonts w:hint="eastAsia" w:ascii="宋体" w:hAnsi="宋体" w:cs="宋体"/>
                <w:kern w:val="0"/>
                <w:szCs w:val="21"/>
                <w:lang w:bidi="ar"/>
              </w:rPr>
              <w:t>为企业技术服务年收入（万元）</w:t>
            </w:r>
          </w:p>
        </w:tc>
        <w:tc>
          <w:tcPr>
            <w:tcW w:w="1125" w:type="dxa"/>
            <w:noWrap w:val="0"/>
            <w:vAlign w:val="center"/>
          </w:tcPr>
          <w:p>
            <w:pPr>
              <w:widowControl/>
              <w:spacing w:line="360" w:lineRule="auto"/>
              <w:jc w:val="center"/>
              <w:rPr>
                <w:rFonts w:hint="default" w:eastAsia="宋体"/>
                <w:kern w:val="0"/>
                <w:szCs w:val="21"/>
                <w:lang w:val="en-US" w:eastAsia="zh-CN" w:bidi="ar"/>
              </w:rPr>
            </w:pPr>
            <w:r>
              <w:rPr>
                <w:rFonts w:hint="eastAsia"/>
                <w:kern w:val="0"/>
                <w:szCs w:val="21"/>
                <w:lang w:val="en-US" w:eastAsia="zh-CN" w:bidi="ar"/>
              </w:rPr>
              <w:t>22.1</w:t>
            </w:r>
          </w:p>
        </w:tc>
        <w:tc>
          <w:tcPr>
            <w:tcW w:w="1125" w:type="dxa"/>
            <w:noWrap w:val="0"/>
            <w:vAlign w:val="center"/>
          </w:tcPr>
          <w:p>
            <w:pPr>
              <w:widowControl/>
              <w:spacing w:line="360" w:lineRule="auto"/>
              <w:jc w:val="center"/>
              <w:rPr>
                <w:rFonts w:hint="eastAsia"/>
                <w:kern w:val="0"/>
                <w:szCs w:val="21"/>
                <w:lang w:bidi="ar"/>
              </w:rPr>
            </w:pPr>
            <w:r>
              <w:rPr>
                <w:rFonts w:hint="eastAsia"/>
                <w:kern w:val="0"/>
                <w:szCs w:val="21"/>
                <w:lang w:bidi="ar"/>
              </w:rPr>
              <w:t>5.45</w:t>
            </w:r>
          </w:p>
        </w:tc>
        <w:tc>
          <w:tcPr>
            <w:tcW w:w="1095" w:type="dxa"/>
            <w:noWrap w:val="0"/>
            <w:vAlign w:val="center"/>
          </w:tcPr>
          <w:p>
            <w:pPr>
              <w:widowControl/>
              <w:spacing w:line="360" w:lineRule="auto"/>
              <w:jc w:val="center"/>
              <w:rPr>
                <w:rFonts w:hint="eastAsia"/>
                <w:kern w:val="0"/>
                <w:szCs w:val="21"/>
                <w:lang w:bidi="ar"/>
              </w:rPr>
            </w:pPr>
            <w:r>
              <w:rPr>
                <w:rFonts w:hint="eastAsia"/>
                <w:kern w:val="0"/>
                <w:szCs w:val="21"/>
                <w:lang w:bidi="ar"/>
              </w:rPr>
              <w:t>2.20</w:t>
            </w:r>
          </w:p>
        </w:tc>
        <w:tc>
          <w:tcPr>
            <w:tcW w:w="1133" w:type="dxa"/>
            <w:noWrap w:val="0"/>
            <w:vAlign w:val="center"/>
          </w:tcPr>
          <w:p>
            <w:pPr>
              <w:widowControl/>
              <w:spacing w:line="360" w:lineRule="auto"/>
              <w:jc w:val="center"/>
              <w:rPr>
                <w:rFonts w:hint="eastAsia"/>
                <w:kern w:val="0"/>
                <w:szCs w:val="21"/>
                <w:lang w:bidi="ar"/>
              </w:rPr>
            </w:pPr>
            <w:r>
              <w:rPr>
                <w:rFonts w:hint="eastAsia"/>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4" w:type="dxa"/>
            <w:noWrap w:val="0"/>
            <w:vAlign w:val="center"/>
          </w:tcPr>
          <w:p>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本校相对其他院校增减量（万元）</w:t>
            </w:r>
          </w:p>
        </w:tc>
        <w:tc>
          <w:tcPr>
            <w:tcW w:w="1125"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25"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1095"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c>
          <w:tcPr>
            <w:tcW w:w="1133" w:type="dxa"/>
            <w:noWrap w:val="0"/>
            <w:vAlign w:val="center"/>
          </w:tcPr>
          <w:p>
            <w:pPr>
              <w:widowControl/>
              <w:spacing w:line="360" w:lineRule="auto"/>
              <w:jc w:val="center"/>
              <w:rPr>
                <w:rFonts w:hint="eastAsia"/>
                <w:kern w:val="0"/>
                <w:szCs w:val="21"/>
                <w:lang w:bidi="ar"/>
              </w:rPr>
            </w:pPr>
            <w:r>
              <w:rPr>
                <w:rFonts w:hint="eastAsia"/>
                <w:kern w:val="0"/>
                <w:szCs w:val="21"/>
                <w:lang w:bidi="ar"/>
              </w:rPr>
              <w:t>-100</w:t>
            </w:r>
          </w:p>
        </w:tc>
      </w:tr>
    </w:tbl>
    <w:p>
      <w:pPr>
        <w:keepNext w:val="0"/>
        <w:keepLines w:val="0"/>
        <w:pageBreakBefore w:val="0"/>
        <w:widowControl/>
        <w:kinsoku/>
        <w:wordWrap/>
        <w:overflowPunct/>
        <w:topLinePunct w:val="0"/>
        <w:autoSpaceDE/>
        <w:autoSpaceDN/>
        <w:bidi w:val="0"/>
        <w:adjustRightInd/>
        <w:snapToGrid/>
        <w:spacing w:line="360" w:lineRule="auto"/>
        <w:ind w:firstLine="281" w:firstLineChars="100"/>
        <w:jc w:val="left"/>
        <w:textAlignment w:val="auto"/>
        <w:outlineLvl w:val="1"/>
        <w:rPr>
          <w:rFonts w:hint="eastAsia" w:ascii="宋体" w:hAnsi="宋体" w:cs="宋体"/>
          <w:color w:val="C00000"/>
          <w:kern w:val="0"/>
          <w:sz w:val="21"/>
          <w:szCs w:val="21"/>
          <w:lang w:bidi="ar"/>
        </w:rPr>
      </w:pPr>
      <w:bookmarkStart w:id="39" w:name="_Toc2487"/>
      <w:r>
        <w:rPr>
          <w:rFonts w:hint="eastAsia" w:ascii="宋体" w:hAnsi="宋体" w:cs="宋体"/>
          <w:b/>
          <w:bCs/>
          <w:color w:val="000000"/>
          <w:kern w:val="0"/>
          <w:sz w:val="28"/>
          <w:szCs w:val="28"/>
          <w:lang w:bidi="ar"/>
        </w:rPr>
        <w:t>（四）满足政府购买服务</w:t>
      </w:r>
      <w:r>
        <w:rPr>
          <w:rFonts w:hint="eastAsia" w:ascii="宋体" w:hAnsi="宋体" w:cs="宋体"/>
          <w:b/>
          <w:bCs/>
          <w:color w:val="000000"/>
          <w:kern w:val="0"/>
          <w:sz w:val="28"/>
          <w:szCs w:val="28"/>
          <w:lang w:eastAsia="zh-CN" w:bidi="ar"/>
        </w:rPr>
        <w:t>基本</w:t>
      </w:r>
      <w:r>
        <w:rPr>
          <w:rFonts w:hint="eastAsia" w:ascii="宋体" w:hAnsi="宋体" w:cs="宋体"/>
          <w:b/>
          <w:bCs/>
          <w:color w:val="000000"/>
          <w:kern w:val="0"/>
          <w:sz w:val="28"/>
          <w:szCs w:val="28"/>
          <w:lang w:bidi="ar"/>
        </w:rPr>
        <w:t>情况</w:t>
      </w:r>
      <w:bookmarkEnd w:id="3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扶贫工作。2019年以来，学校扎实开展“双百工程”扶贫工作，助力安康市汉滨区脱贫攻坚，制定了《陕西工商职业学院“双百工程”2019年度结对帮扶工作计划》《2019年扶贫重点工作任务》，相关部门也制定了具体工作计划，进一步明确了结对帮扶工作的整体思路、帮扶任务、主要措施和工作计划。受到省委省政府的充分肯定，获得2019 年度“双百工程”先进单位荣誉称号。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2019红色逐梦之旅“扶贫攻坚”暑期社会实践活动。先后派出15支志愿服务实践团队前往安康市汉滨区19个村镇开展了40余项暑期社会实践活动。充分发挥广大教师“走进家庭”、“携手与人”家访工作优势，开展“三秦教师结对帮扶贫困学生”活动。组织培训团队赴汉滨区开展送教工作培训活动。组织教师走访在校学生家庭，开展扶智送教活动。对录取的12名安康地区学生实行每年减免学费1000-3000元不等的帮扶政策。发挥旅游业产学研一体化示范基地作用，开展专题培训，助力汉滨区旅游业提升。积极开展消费扶贫活动，采购优质农产品28.76万元，作为教职工春节福利。</w:t>
      </w:r>
    </w:p>
    <w:p>
      <w:pPr>
        <w:widowControl/>
        <w:spacing w:line="360" w:lineRule="auto"/>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表25   2019 年学校满足政府购买服务情况</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1453"/>
        <w:gridCol w:w="130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179" w:type="dxa"/>
            <w:noWrap w:val="0"/>
            <w:vAlign w:val="center"/>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指标名称</w:t>
            </w:r>
          </w:p>
        </w:tc>
        <w:tc>
          <w:tcPr>
            <w:tcW w:w="1453"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2017年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308" w:type="dxa"/>
            <w:noWrap w:val="0"/>
            <w:vAlign w:val="top"/>
          </w:tcPr>
          <w:p>
            <w:pPr>
              <w:widowControl/>
              <w:jc w:val="center"/>
              <w:rPr>
                <w:rFonts w:hint="eastAsia" w:ascii="宋体" w:hAnsi="宋体" w:cs="宋体"/>
                <w:b/>
                <w:color w:val="000000"/>
                <w:kern w:val="0"/>
                <w:szCs w:val="21"/>
                <w:lang w:bidi="ar"/>
              </w:rPr>
            </w:pPr>
            <w:r>
              <w:rPr>
                <w:rFonts w:hint="eastAsia" w:ascii="宋体" w:hAnsi="宋体" w:cs="宋体"/>
                <w:b/>
                <w:color w:val="000000"/>
                <w:kern w:val="0"/>
                <w:szCs w:val="21"/>
                <w:lang w:bidi="ar"/>
              </w:rPr>
              <w:t>2019年</w:t>
            </w:r>
          </w:p>
          <w:p>
            <w:pPr>
              <w:widowControl/>
              <w:jc w:val="center"/>
              <w:rPr>
                <w:rFonts w:hint="eastAsia" w:ascii="宋体" w:hAnsi="宋体" w:cs="宋体"/>
                <w:color w:val="000000"/>
                <w:kern w:val="0"/>
                <w:szCs w:val="21"/>
                <w:lang w:bidi="ar"/>
              </w:rPr>
            </w:pPr>
            <w:r>
              <w:rPr>
                <w:rFonts w:hint="eastAsia" w:ascii="宋体" w:hAnsi="宋体" w:cs="宋体"/>
                <w:b/>
                <w:color w:val="000000"/>
                <w:kern w:val="0"/>
                <w:szCs w:val="21"/>
                <w:lang w:bidi="ar"/>
              </w:rPr>
              <w:t>指标值</w:t>
            </w:r>
          </w:p>
        </w:tc>
        <w:tc>
          <w:tcPr>
            <w:tcW w:w="1598" w:type="dxa"/>
            <w:noWrap w:val="0"/>
            <w:vAlign w:val="top"/>
          </w:tcPr>
          <w:p>
            <w:pPr>
              <w:widowControl/>
              <w:jc w:val="left"/>
              <w:rPr>
                <w:rFonts w:hint="eastAsia" w:ascii="宋体" w:hAnsi="宋体" w:cs="宋体"/>
                <w:color w:val="000000"/>
                <w:kern w:val="0"/>
                <w:szCs w:val="21"/>
                <w:lang w:bidi="ar"/>
              </w:rPr>
            </w:pPr>
            <w:r>
              <w:rPr>
                <w:rFonts w:hint="eastAsia" w:ascii="宋体" w:hAnsi="宋体" w:cs="宋体"/>
                <w:b/>
                <w:color w:val="000000"/>
                <w:kern w:val="0"/>
                <w:szCs w:val="21"/>
                <w:lang w:bidi="ar"/>
              </w:rPr>
              <w:t>与上期相比增(减)率（%）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79"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政府购买服务到款额（万元）</w:t>
            </w:r>
          </w:p>
        </w:tc>
        <w:tc>
          <w:tcPr>
            <w:tcW w:w="1453"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308" w:type="dxa"/>
            <w:noWrap w:val="0"/>
            <w:vAlign w:val="center"/>
          </w:tcPr>
          <w:p>
            <w:pPr>
              <w:widowControl/>
              <w:spacing w:line="360" w:lineRule="auto"/>
              <w:jc w:val="center"/>
              <w:rPr>
                <w:kern w:val="0"/>
                <w:szCs w:val="21"/>
                <w:lang w:bidi="ar"/>
              </w:rPr>
            </w:pPr>
            <w:r>
              <w:rPr>
                <w:rFonts w:hint="eastAsia"/>
                <w:kern w:val="0"/>
                <w:szCs w:val="21"/>
                <w:lang w:bidi="ar"/>
              </w:rPr>
              <w:t>45</w:t>
            </w:r>
          </w:p>
        </w:tc>
        <w:tc>
          <w:tcPr>
            <w:tcW w:w="1598" w:type="dxa"/>
            <w:noWrap w:val="0"/>
            <w:vAlign w:val="center"/>
          </w:tcPr>
          <w:p>
            <w:pPr>
              <w:widowControl/>
              <w:spacing w:line="360" w:lineRule="auto"/>
              <w:jc w:val="center"/>
              <w:rPr>
                <w:rFonts w:hint="eastAsia"/>
                <w:kern w:val="0"/>
                <w:szCs w:val="21"/>
                <w:lang w:bidi="ar"/>
              </w:rPr>
            </w:pPr>
            <w:r>
              <w:rPr>
                <w:rFonts w:hint="eastAsia"/>
                <w:kern w:val="0"/>
                <w:szCs w:val="21"/>
                <w:lang w:bidi="ar"/>
              </w:rPr>
              <w:t>+4500</w:t>
            </w:r>
          </w:p>
        </w:tc>
      </w:tr>
    </w:tbl>
    <w:p>
      <w:pPr>
        <w:widowControl/>
        <w:spacing w:line="360" w:lineRule="auto"/>
        <w:jc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bidi="ar"/>
        </w:rPr>
        <w:t>表26   2019 年学校政府购买服务到款额与全国</w:t>
      </w:r>
      <w:r>
        <w:rPr>
          <w:rFonts w:hint="eastAsia" w:ascii="宋体" w:hAnsi="宋体" w:cs="宋体"/>
          <w:b/>
          <w:color w:val="000000"/>
          <w:kern w:val="0"/>
          <w:sz w:val="24"/>
          <w:szCs w:val="24"/>
          <w:lang w:eastAsia="zh-CN" w:bidi="ar"/>
        </w:rPr>
        <w:t>同</w:t>
      </w:r>
      <w:r>
        <w:rPr>
          <w:rFonts w:hint="eastAsia" w:ascii="宋体" w:hAnsi="宋体" w:cs="宋体"/>
          <w:b/>
          <w:color w:val="000000"/>
          <w:kern w:val="0"/>
          <w:sz w:val="24"/>
          <w:szCs w:val="24"/>
          <w:lang w:bidi="ar"/>
        </w:rPr>
        <w:t>类院校比较</w:t>
      </w:r>
      <w:r>
        <w:rPr>
          <w:rFonts w:hint="eastAsia" w:ascii="宋体" w:hAnsi="宋体" w:cs="宋体"/>
          <w:b/>
          <w:color w:val="000000"/>
          <w:kern w:val="0"/>
          <w:sz w:val="24"/>
          <w:szCs w:val="24"/>
          <w:lang w:val="en-US" w:eastAsia="zh-CN" w:bidi="ar"/>
        </w:rPr>
        <w:t>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1155"/>
        <w:gridCol w:w="1155"/>
        <w:gridCol w:w="117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noWrap w:val="0"/>
            <w:vAlign w:val="top"/>
          </w:tcPr>
          <w:p>
            <w:pPr>
              <w:widowControl/>
              <w:ind w:firstLine="2165" w:firstLineChars="1027"/>
              <w:jc w:val="left"/>
              <w:rPr>
                <w:rFonts w:hint="eastAsia" w:ascii="宋体" w:hAnsi="宋体" w:cs="宋体"/>
                <w:b/>
                <w:kern w:val="0"/>
                <w:szCs w:val="21"/>
                <w:lang w:bidi="ar"/>
              </w:rPr>
            </w:pPr>
            <w:r>
              <w:rPr>
                <w:rFonts w:hint="eastAsia" w:ascii="宋体" w:hAnsi="宋体" w:cs="宋体"/>
                <w:b/>
                <w:kern w:val="0"/>
                <w:szCs w:val="21"/>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25400</wp:posOffset>
                      </wp:positionV>
                      <wp:extent cx="2465705" cy="342265"/>
                      <wp:effectExtent l="635" t="4445" r="10160" b="15240"/>
                      <wp:wrapNone/>
                      <wp:docPr id="13" name="直接箭头连接符 13"/>
                      <wp:cNvGraphicFramePr/>
                      <a:graphic xmlns:a="http://schemas.openxmlformats.org/drawingml/2006/main">
                        <a:graphicData uri="http://schemas.microsoft.com/office/word/2010/wordprocessingShape">
                          <wps:wsp>
                            <wps:cNvCnPr/>
                            <wps:spPr>
                              <a:xfrm>
                                <a:off x="0" y="0"/>
                                <a:ext cx="2465705" cy="342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2pt;height:26.95pt;width:194.15pt;z-index:251669504;mso-width-relative:page;mso-height-relative:page;" filled="f" stroked="t" coordsize="21600,21600" o:gfxdata="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7NaNcA&#10;AAAHAQAADwAAAAAAAAABACAAAAAiAAAAZHJzL2Rvd25yZXYueG1sUEsBAhQAFAAAAAgAh07iQJDi&#10;Fij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b/>
                <w:kern w:val="0"/>
                <w:szCs w:val="21"/>
                <w:lang w:bidi="ar"/>
              </w:rPr>
              <w:t>项目</w:t>
            </w:r>
          </w:p>
          <w:p>
            <w:pPr>
              <w:widowControl/>
              <w:jc w:val="left"/>
              <w:rPr>
                <w:rFonts w:hint="eastAsia" w:ascii="宋体" w:hAnsi="宋体" w:cs="宋体"/>
                <w:b/>
                <w:kern w:val="0"/>
                <w:szCs w:val="21"/>
                <w:lang w:bidi="ar"/>
              </w:rPr>
            </w:pPr>
            <w:r>
              <w:rPr>
                <w:rFonts w:hint="eastAsia" w:ascii="宋体" w:hAnsi="宋体" w:cs="宋体"/>
                <w:b/>
                <w:kern w:val="0"/>
                <w:szCs w:val="21"/>
                <w:lang w:bidi="ar"/>
              </w:rPr>
              <w:t>比较指标</w:t>
            </w:r>
          </w:p>
        </w:tc>
        <w:tc>
          <w:tcPr>
            <w:tcW w:w="115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学校</w:t>
            </w:r>
          </w:p>
          <w:p>
            <w:pPr>
              <w:widowControl/>
              <w:jc w:val="center"/>
              <w:rPr>
                <w:rFonts w:hint="eastAsia" w:ascii="宋体" w:hAnsi="宋体" w:cs="宋体"/>
                <w:b/>
                <w:kern w:val="0"/>
                <w:szCs w:val="21"/>
                <w:lang w:bidi="ar"/>
              </w:rPr>
            </w:pPr>
            <w:r>
              <w:rPr>
                <w:rFonts w:hint="eastAsia" w:ascii="宋体" w:hAnsi="宋体" w:cs="宋体"/>
                <w:b/>
                <w:kern w:val="0"/>
                <w:szCs w:val="21"/>
                <w:lang w:bidi="ar"/>
              </w:rPr>
              <w:t>指标值</w:t>
            </w:r>
          </w:p>
        </w:tc>
        <w:tc>
          <w:tcPr>
            <w:tcW w:w="1155"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w:t>
            </w:r>
          </w:p>
          <w:p>
            <w:pPr>
              <w:widowControl/>
              <w:jc w:val="center"/>
              <w:rPr>
                <w:rFonts w:hint="eastAsia" w:ascii="宋体" w:hAnsi="宋体" w:cs="宋体"/>
                <w:b/>
                <w:kern w:val="0"/>
                <w:szCs w:val="21"/>
                <w:lang w:bidi="ar"/>
              </w:rPr>
            </w:pPr>
            <w:r>
              <w:rPr>
                <w:rFonts w:hint="eastAsia" w:ascii="宋体" w:hAnsi="宋体" w:cs="宋体"/>
                <w:b/>
                <w:kern w:val="0"/>
                <w:szCs w:val="21"/>
                <w:lang w:bidi="ar"/>
              </w:rPr>
              <w:t>中位数</w:t>
            </w:r>
          </w:p>
        </w:tc>
        <w:tc>
          <w:tcPr>
            <w:tcW w:w="1170"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全国同类</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c>
          <w:tcPr>
            <w:tcW w:w="1118" w:type="dxa"/>
            <w:noWrap w:val="0"/>
            <w:vAlign w:val="center"/>
          </w:tcPr>
          <w:p>
            <w:pPr>
              <w:widowControl/>
              <w:jc w:val="center"/>
              <w:rPr>
                <w:rFonts w:hint="eastAsia" w:ascii="宋体" w:hAnsi="宋体" w:cs="宋体"/>
                <w:b/>
                <w:kern w:val="0"/>
                <w:szCs w:val="21"/>
                <w:lang w:bidi="ar"/>
              </w:rPr>
            </w:pPr>
            <w:r>
              <w:rPr>
                <w:rFonts w:hint="eastAsia" w:ascii="宋体" w:hAnsi="宋体" w:cs="宋体"/>
                <w:b/>
                <w:kern w:val="0"/>
                <w:szCs w:val="21"/>
                <w:lang w:bidi="ar"/>
              </w:rPr>
              <w:t>陕西省</w:t>
            </w:r>
          </w:p>
          <w:p>
            <w:pPr>
              <w:widowControl/>
              <w:jc w:val="center"/>
              <w:rPr>
                <w:rFonts w:hint="eastAsia" w:ascii="宋体" w:hAnsi="宋体" w:cs="宋体"/>
                <w:kern w:val="0"/>
                <w:szCs w:val="21"/>
                <w:lang w:bidi="ar"/>
              </w:rPr>
            </w:pPr>
            <w:r>
              <w:rPr>
                <w:rFonts w:hint="eastAsia" w:ascii="宋体" w:hAnsi="宋体" w:cs="宋体"/>
                <w:b/>
                <w:kern w:val="0"/>
                <w:szCs w:val="21"/>
                <w:lang w:bidi="ar"/>
              </w:rPr>
              <w:t>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924"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2019 年学校政府购买服务到款额（万元）</w:t>
            </w:r>
          </w:p>
        </w:tc>
        <w:tc>
          <w:tcPr>
            <w:tcW w:w="1155" w:type="dxa"/>
            <w:noWrap w:val="0"/>
            <w:vAlign w:val="center"/>
          </w:tcPr>
          <w:p>
            <w:pPr>
              <w:widowControl/>
              <w:spacing w:line="360" w:lineRule="auto"/>
              <w:jc w:val="center"/>
              <w:rPr>
                <w:rFonts w:hint="eastAsia"/>
                <w:kern w:val="0"/>
                <w:szCs w:val="21"/>
                <w:lang w:bidi="ar"/>
              </w:rPr>
            </w:pPr>
            <w:r>
              <w:rPr>
                <w:rFonts w:hint="eastAsia"/>
                <w:kern w:val="0"/>
                <w:szCs w:val="21"/>
                <w:lang w:bidi="ar"/>
              </w:rPr>
              <w:t>45</w:t>
            </w:r>
          </w:p>
        </w:tc>
        <w:tc>
          <w:tcPr>
            <w:tcW w:w="1155"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70"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18"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924"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本校相对其他院校增减量（万元）</w:t>
            </w:r>
          </w:p>
        </w:tc>
        <w:tc>
          <w:tcPr>
            <w:tcW w:w="1155" w:type="dxa"/>
            <w:noWrap w:val="0"/>
            <w:vAlign w:val="center"/>
          </w:tcPr>
          <w:p>
            <w:pPr>
              <w:widowControl/>
              <w:spacing w:line="360" w:lineRule="auto"/>
              <w:jc w:val="center"/>
              <w:rPr>
                <w:rFonts w:hint="eastAsia"/>
                <w:kern w:val="0"/>
                <w:szCs w:val="21"/>
                <w:lang w:bidi="ar"/>
              </w:rPr>
            </w:pPr>
            <w:r>
              <w:rPr>
                <w:rFonts w:hint="eastAsia"/>
                <w:kern w:val="0"/>
                <w:szCs w:val="21"/>
                <w:lang w:bidi="ar"/>
              </w:rPr>
              <w:t>0</w:t>
            </w:r>
          </w:p>
        </w:tc>
        <w:tc>
          <w:tcPr>
            <w:tcW w:w="1155" w:type="dxa"/>
            <w:noWrap w:val="0"/>
            <w:vAlign w:val="center"/>
          </w:tcPr>
          <w:p>
            <w:pPr>
              <w:widowControl/>
              <w:spacing w:line="360" w:lineRule="auto"/>
              <w:jc w:val="center"/>
              <w:rPr>
                <w:rFonts w:hint="eastAsia"/>
                <w:kern w:val="0"/>
                <w:szCs w:val="21"/>
                <w:lang w:bidi="ar"/>
              </w:rPr>
            </w:pPr>
            <w:r>
              <w:rPr>
                <w:rFonts w:hint="eastAsia"/>
                <w:kern w:val="0"/>
                <w:szCs w:val="21"/>
                <w:lang w:bidi="ar"/>
              </w:rPr>
              <w:t>+4500</w:t>
            </w:r>
          </w:p>
        </w:tc>
        <w:tc>
          <w:tcPr>
            <w:tcW w:w="1170" w:type="dxa"/>
            <w:noWrap w:val="0"/>
            <w:vAlign w:val="center"/>
          </w:tcPr>
          <w:p>
            <w:pPr>
              <w:widowControl/>
              <w:spacing w:line="360" w:lineRule="auto"/>
              <w:jc w:val="center"/>
              <w:rPr>
                <w:rFonts w:hint="eastAsia"/>
                <w:kern w:val="0"/>
                <w:szCs w:val="21"/>
                <w:lang w:bidi="ar"/>
              </w:rPr>
            </w:pPr>
            <w:r>
              <w:rPr>
                <w:rFonts w:hint="eastAsia"/>
                <w:kern w:val="0"/>
                <w:szCs w:val="21"/>
                <w:lang w:bidi="ar"/>
              </w:rPr>
              <w:t>+4500</w:t>
            </w:r>
          </w:p>
        </w:tc>
        <w:tc>
          <w:tcPr>
            <w:tcW w:w="1118" w:type="dxa"/>
            <w:noWrap w:val="0"/>
            <w:vAlign w:val="center"/>
          </w:tcPr>
          <w:p>
            <w:pPr>
              <w:widowControl/>
              <w:spacing w:line="360" w:lineRule="auto"/>
              <w:jc w:val="center"/>
              <w:rPr>
                <w:rFonts w:hint="eastAsia"/>
                <w:kern w:val="0"/>
                <w:szCs w:val="21"/>
                <w:lang w:bidi="ar"/>
              </w:rPr>
            </w:pPr>
            <w:r>
              <w:rPr>
                <w:rFonts w:hint="eastAsia"/>
                <w:kern w:val="0"/>
                <w:szCs w:val="21"/>
                <w:lang w:bidi="ar"/>
              </w:rPr>
              <w:t>+4500</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培训工作。成人教育与培训学院开展多层次、多规格、多种形式的大学后继续教育、专业证书教育、岗位培训、职业技能培训及各类社会考试工作，培训人数7035人次，大力服务区域经济发展，努力提升社会责任意识和服务水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普通话培训测试2864人次，NTC测试1298人次，继续教育培训2370人次。中小幼“国培计划”幼儿音乐、幼儿园园长及新入职教师培训等8个项目，争取专项资金144万元，共计培训400人。中高职“国培计划”酒店服务与管理（中职）和物流管理（高职）教师培训项目，争取专项资金36.6万元，共计培训33人。首次开展陕西省人力资源和社会保障厅创新创业培训项目，开展培训一期，争取专项资金2.4万元，培训20人。组织实施“省培计划”2018——陕西省高中数学教师省级脱产研修项目，争取专项资金15万元，共计培训50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0"/>
        <w:rPr>
          <w:rFonts w:hint="eastAsia" w:ascii="宋体" w:hAnsi="宋体" w:cs="宋体"/>
          <w:b/>
          <w:bCs/>
          <w:color w:val="000000"/>
          <w:kern w:val="0"/>
          <w:sz w:val="28"/>
          <w:szCs w:val="28"/>
          <w:lang w:val="en-US" w:eastAsia="zh-CN" w:bidi="ar"/>
        </w:rPr>
      </w:pPr>
      <w:bookmarkStart w:id="40" w:name="_Toc27252"/>
      <w:r>
        <w:rPr>
          <w:rFonts w:hint="eastAsia" w:ascii="宋体" w:hAnsi="宋体" w:cs="宋体"/>
          <w:b/>
          <w:bCs/>
          <w:color w:val="000000"/>
          <w:kern w:val="0"/>
          <w:sz w:val="28"/>
          <w:szCs w:val="28"/>
          <w:lang w:eastAsia="zh-CN" w:bidi="ar"/>
        </w:rPr>
        <w:t>七、社会需求能力提升的挑战与思考</w:t>
      </w:r>
      <w:bookmarkEnd w:id="40"/>
      <w:r>
        <w:rPr>
          <w:rFonts w:hint="eastAsia" w:ascii="宋体" w:hAnsi="宋体" w:cs="宋体"/>
          <w:b/>
          <w:bCs/>
          <w:color w:val="000000"/>
          <w:kern w:val="0"/>
          <w:sz w:val="28"/>
          <w:szCs w:val="28"/>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cs="宋体"/>
          <w:b/>
          <w:bCs/>
          <w:color w:val="000000"/>
          <w:kern w:val="0"/>
          <w:sz w:val="28"/>
          <w:szCs w:val="28"/>
          <w:lang w:eastAsia="zh-CN" w:bidi="ar"/>
        </w:rPr>
      </w:pPr>
      <w:bookmarkStart w:id="41" w:name="_Toc21774"/>
      <w:r>
        <w:rPr>
          <w:rFonts w:hint="eastAsia" w:ascii="宋体" w:hAnsi="宋体" w:cs="宋体"/>
          <w:b/>
          <w:bCs/>
          <w:color w:val="000000"/>
          <w:kern w:val="0"/>
          <w:sz w:val="28"/>
          <w:szCs w:val="28"/>
          <w:lang w:eastAsia="zh-CN" w:bidi="ar"/>
        </w:rPr>
        <w:t>（一）校企深度合作机制有待创新</w:t>
      </w:r>
      <w:bookmarkEnd w:id="4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于环境、资源和政策的制约，产教融合方面缺乏应有的深度。目前，学校还未融入企业的产业研发链、生产链、营销链、管理流程再造和职工培训等环节。因此，企业参与人才培养方案制订、接受教师与学生参与岗位实践活动的积极性不高，双方未能达成长期的合作共赢关系。实践教学仍是专业教学中最薄弱的环节，订单培养、现代学徒制人才培养模式需要进一步探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1"/>
        <w:rPr>
          <w:rFonts w:hint="default" w:ascii="仿宋_GB2312" w:hAnsi="仿宋_GB2312" w:eastAsia="仿宋_GB2312" w:cs="仿宋_GB2312"/>
          <w:sz w:val="28"/>
          <w:szCs w:val="28"/>
          <w:lang w:val="en-US" w:eastAsia="zh-CN"/>
        </w:rPr>
      </w:pPr>
      <w:bookmarkStart w:id="42" w:name="_Toc26688"/>
      <w:r>
        <w:rPr>
          <w:rFonts w:hint="eastAsia" w:ascii="宋体" w:hAnsi="宋体" w:cs="宋体"/>
          <w:b/>
          <w:bCs/>
          <w:color w:val="000000"/>
          <w:kern w:val="0"/>
          <w:sz w:val="28"/>
          <w:szCs w:val="28"/>
          <w:lang w:eastAsia="zh-CN" w:bidi="ar"/>
        </w:rPr>
        <w:t>（二）质量评价体系有待完善</w:t>
      </w:r>
      <w:r>
        <w:rPr>
          <w:rFonts w:hint="eastAsia" w:asciiTheme="minorEastAsia" w:hAnsiTheme="minorEastAsia" w:eastAsiaTheme="minorEastAsia" w:cstheme="minorEastAsia"/>
          <w:b w:val="0"/>
          <w:bCs w:val="0"/>
          <w:color w:val="000000"/>
          <w:kern w:val="0"/>
          <w:sz w:val="28"/>
          <w:szCs w:val="28"/>
          <w:lang w:bidi="ar"/>
        </w:rPr>
        <w:br w:type="textWrapping"/>
      </w:r>
      <w:r>
        <w:rPr>
          <w:rFonts w:hint="eastAsia" w:asciiTheme="minorEastAsia" w:hAnsiTheme="minorEastAsia" w:eastAsiaTheme="minorEastAsia" w:cstheme="minorEastAsia"/>
          <w:b w:val="0"/>
          <w:bCs w:val="0"/>
          <w:color w:val="000000"/>
          <w:kern w:val="0"/>
          <w:sz w:val="28"/>
          <w:szCs w:val="28"/>
          <w:lang w:val="en-US" w:eastAsia="zh-CN" w:bidi="ar"/>
        </w:rPr>
        <w:t xml:space="preserve">   </w:t>
      </w:r>
      <w:r>
        <w:rPr>
          <w:rFonts w:hint="eastAsia" w:ascii="仿宋_GB2312" w:hAnsi="仿宋_GB2312" w:eastAsia="仿宋_GB2312" w:cs="仿宋_GB2312"/>
          <w:sz w:val="28"/>
          <w:szCs w:val="28"/>
          <w:lang w:val="en-US" w:eastAsia="zh-CN"/>
        </w:rPr>
        <w:t xml:space="preserve"> 近年来，虽然学校教学质量不断提升，“双师型”师资队伍建设卓有成效，学生素质全面提高，毕业生就业率、专业对口率、就业质量稳步上升，社会影响力和美誉度不断提升，但是，学校质量保障体系中仍然存在着许多问题。一是适应人才培养的质量保障体系不到位，反馈机制滞后，被检查对象存在被动应付的现象；二是全体教职工、学生的质量意识还有待进一步加强，质量保障尚未内化为自主、自觉行为，全面质量管理的文化在大学文化建设中的作用还未充分发挥。</w:t>
      </w:r>
      <w:bookmarkEnd w:id="42"/>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80096" behindDoc="0" locked="0" layoutInCell="1" allowOverlap="1">
              <wp:simplePos x="0" y="0"/>
              <wp:positionH relativeFrom="margin">
                <wp:posOffset>2550795</wp:posOffset>
              </wp:positionH>
              <wp:positionV relativeFrom="paragraph">
                <wp:posOffset>-8255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85pt;margin-top:-0.65pt;height:144pt;width:144pt;mso-position-horizontal-relative:margin;mso-wrap-style:none;z-index:251780096;mso-width-relative:page;mso-height-relative:page;" filled="f" stroked="f" coordsize="21600,21600" o:gfxdata="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2V1mXYAAAACgEAAA8A&#10;AAAAAAAAAQAgAAAAIgAAAGRycy9kb3ducmV2LnhtbFBLAQIUABQAAAAIAIdO4kDkrel+FwIAABUE&#10;AAAOAAAAAAAAAAEAIAAAACcBAABkcnMvZTJvRG9jLnhtbFBLBQYAAAAABgAGAFkBAACw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icBLABAABN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YnASwAQAA&#10;TQMAAA4AAAAAAAAAAQAgAAAAHgEAAGRycy9lMm9Eb2MueG1sUEsFBgAAAAAGAAYAWQEAAEAFAAAA&#10;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902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2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902976" behindDoc="0" locked="0" layoutInCell="1" allowOverlap="1">
              <wp:simplePos x="0" y="0"/>
              <wp:positionH relativeFrom="margin">
                <wp:posOffset>2550795</wp:posOffset>
              </wp:positionH>
              <wp:positionV relativeFrom="paragraph">
                <wp:posOffset>-8255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85pt;margin-top:-0.65pt;height:144pt;width:144pt;mso-position-horizontal-relative:margin;mso-wrap-style:none;z-index:251902976;mso-width-relative:page;mso-height-relative:page;" filled="f" stroked="f" coordsize="21600,21600" o:gfxdata="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ldZl2AAAAAoBAAAPAAAA&#10;AAAAAAEAIAAAACIAAABkcnMvZG93bnJldi54bWxQSwECFAAUAAAACACHTuJA6f6cnRUCAAAVBAAA&#10;DgAAAAAAAAABACAAAAAnAQAAZHJzL2Uyb0RvYy54bWxQSwUGAAAAAAYABgBZAQAArg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902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2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901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1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swHLABAABNAwAADgAAAGRycy9lMm9Eb2MueG1srVPNThsxEL5X4h0s&#10;34mXI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A7MBywAQAA&#10;TQMAAA4AAAAAAAAAAQAgAAAAHgEAAGRycy9lMm9Eb2MueG1sUEsFBgAAAAAGAAYAWQEAAEAFAAAA&#10;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E5BD"/>
    <w:multiLevelType w:val="singleLevel"/>
    <w:tmpl w:val="2015E5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24DFE"/>
    <w:rsid w:val="00153257"/>
    <w:rsid w:val="00AE7019"/>
    <w:rsid w:val="01C23D2B"/>
    <w:rsid w:val="02BC5AAF"/>
    <w:rsid w:val="03A02E5E"/>
    <w:rsid w:val="03AE6DF4"/>
    <w:rsid w:val="046A3B7B"/>
    <w:rsid w:val="05610EEE"/>
    <w:rsid w:val="05765C9A"/>
    <w:rsid w:val="05974654"/>
    <w:rsid w:val="06062B1C"/>
    <w:rsid w:val="0680416C"/>
    <w:rsid w:val="070F7629"/>
    <w:rsid w:val="07C2087E"/>
    <w:rsid w:val="080A0639"/>
    <w:rsid w:val="08253488"/>
    <w:rsid w:val="08450B30"/>
    <w:rsid w:val="087E4A83"/>
    <w:rsid w:val="094242BB"/>
    <w:rsid w:val="09767D0E"/>
    <w:rsid w:val="09A44070"/>
    <w:rsid w:val="0A1D2215"/>
    <w:rsid w:val="0A576792"/>
    <w:rsid w:val="0A6223E9"/>
    <w:rsid w:val="0A8B2E73"/>
    <w:rsid w:val="0B3B0E3E"/>
    <w:rsid w:val="0C2E1D96"/>
    <w:rsid w:val="0C5803A2"/>
    <w:rsid w:val="0C5F5301"/>
    <w:rsid w:val="0C626620"/>
    <w:rsid w:val="0C96258E"/>
    <w:rsid w:val="0D250903"/>
    <w:rsid w:val="0D3C549C"/>
    <w:rsid w:val="0D8270A5"/>
    <w:rsid w:val="0DCC170D"/>
    <w:rsid w:val="0DF13D64"/>
    <w:rsid w:val="0E597ADB"/>
    <w:rsid w:val="0E84370F"/>
    <w:rsid w:val="0ECA2E0C"/>
    <w:rsid w:val="0ECE463C"/>
    <w:rsid w:val="0F9776F5"/>
    <w:rsid w:val="0FC520C9"/>
    <w:rsid w:val="0FDD2545"/>
    <w:rsid w:val="10050A2F"/>
    <w:rsid w:val="10813A65"/>
    <w:rsid w:val="114C2C6D"/>
    <w:rsid w:val="126502DF"/>
    <w:rsid w:val="12E04191"/>
    <w:rsid w:val="13381312"/>
    <w:rsid w:val="13A4047E"/>
    <w:rsid w:val="13D9293C"/>
    <w:rsid w:val="14F8693A"/>
    <w:rsid w:val="15E3553D"/>
    <w:rsid w:val="16366DEB"/>
    <w:rsid w:val="164F315A"/>
    <w:rsid w:val="16A00B00"/>
    <w:rsid w:val="16A117D1"/>
    <w:rsid w:val="16D13675"/>
    <w:rsid w:val="182D081C"/>
    <w:rsid w:val="192509B9"/>
    <w:rsid w:val="194117B6"/>
    <w:rsid w:val="196B7DFC"/>
    <w:rsid w:val="19994BF4"/>
    <w:rsid w:val="19EF3457"/>
    <w:rsid w:val="1A5237DA"/>
    <w:rsid w:val="1B086DED"/>
    <w:rsid w:val="1B1E3419"/>
    <w:rsid w:val="1BF044DB"/>
    <w:rsid w:val="1CDF56EF"/>
    <w:rsid w:val="1DDD5057"/>
    <w:rsid w:val="1E512FF8"/>
    <w:rsid w:val="1E691765"/>
    <w:rsid w:val="1E7F066D"/>
    <w:rsid w:val="1EA42360"/>
    <w:rsid w:val="1F1C6558"/>
    <w:rsid w:val="1F27389C"/>
    <w:rsid w:val="1F557793"/>
    <w:rsid w:val="1F5A1131"/>
    <w:rsid w:val="1F6B5155"/>
    <w:rsid w:val="1FA45884"/>
    <w:rsid w:val="1FAB0678"/>
    <w:rsid w:val="1FE61C72"/>
    <w:rsid w:val="204C631E"/>
    <w:rsid w:val="20567A19"/>
    <w:rsid w:val="21DE4827"/>
    <w:rsid w:val="21F12E61"/>
    <w:rsid w:val="224631B6"/>
    <w:rsid w:val="22972EDF"/>
    <w:rsid w:val="22A20F7F"/>
    <w:rsid w:val="22C7644E"/>
    <w:rsid w:val="22EC2C38"/>
    <w:rsid w:val="23BB089C"/>
    <w:rsid w:val="245E05E2"/>
    <w:rsid w:val="254D2468"/>
    <w:rsid w:val="25C275D9"/>
    <w:rsid w:val="25CA673F"/>
    <w:rsid w:val="26180C98"/>
    <w:rsid w:val="269E37D7"/>
    <w:rsid w:val="26EF57B0"/>
    <w:rsid w:val="27BE71DA"/>
    <w:rsid w:val="27DF0308"/>
    <w:rsid w:val="28007DCC"/>
    <w:rsid w:val="28083334"/>
    <w:rsid w:val="28A81C61"/>
    <w:rsid w:val="28AF3F4B"/>
    <w:rsid w:val="28D146DB"/>
    <w:rsid w:val="292255F7"/>
    <w:rsid w:val="295D7B1D"/>
    <w:rsid w:val="297F579D"/>
    <w:rsid w:val="29A71AE0"/>
    <w:rsid w:val="2A1966C7"/>
    <w:rsid w:val="2A472673"/>
    <w:rsid w:val="2AE45793"/>
    <w:rsid w:val="2B0C41EB"/>
    <w:rsid w:val="2B310E8D"/>
    <w:rsid w:val="2BF8029D"/>
    <w:rsid w:val="2C3C7D63"/>
    <w:rsid w:val="2C6626E0"/>
    <w:rsid w:val="2C737CE9"/>
    <w:rsid w:val="2C847858"/>
    <w:rsid w:val="2C926B8D"/>
    <w:rsid w:val="2CE45A54"/>
    <w:rsid w:val="2D1550B3"/>
    <w:rsid w:val="2D1B7256"/>
    <w:rsid w:val="2D6A57F0"/>
    <w:rsid w:val="2E273761"/>
    <w:rsid w:val="2EF62F56"/>
    <w:rsid w:val="2FA11E63"/>
    <w:rsid w:val="2FCA0BD4"/>
    <w:rsid w:val="3018166B"/>
    <w:rsid w:val="309D7E14"/>
    <w:rsid w:val="30B90C86"/>
    <w:rsid w:val="30FF7AB3"/>
    <w:rsid w:val="3199766B"/>
    <w:rsid w:val="319C68B0"/>
    <w:rsid w:val="31D230CF"/>
    <w:rsid w:val="31F21A72"/>
    <w:rsid w:val="321173ED"/>
    <w:rsid w:val="32560A22"/>
    <w:rsid w:val="325A3190"/>
    <w:rsid w:val="32E761AA"/>
    <w:rsid w:val="332A724A"/>
    <w:rsid w:val="332C2876"/>
    <w:rsid w:val="33324DAF"/>
    <w:rsid w:val="333D6700"/>
    <w:rsid w:val="33612B18"/>
    <w:rsid w:val="33F213F4"/>
    <w:rsid w:val="346736AF"/>
    <w:rsid w:val="3476352A"/>
    <w:rsid w:val="34AF3CDD"/>
    <w:rsid w:val="353B523D"/>
    <w:rsid w:val="356A3B8D"/>
    <w:rsid w:val="35A142EF"/>
    <w:rsid w:val="35A20DAF"/>
    <w:rsid w:val="35FB4E04"/>
    <w:rsid w:val="361C1F12"/>
    <w:rsid w:val="36555FF0"/>
    <w:rsid w:val="365E0D9B"/>
    <w:rsid w:val="36A84D97"/>
    <w:rsid w:val="36D24AE1"/>
    <w:rsid w:val="370E061D"/>
    <w:rsid w:val="371C43CF"/>
    <w:rsid w:val="3726043D"/>
    <w:rsid w:val="37270AC1"/>
    <w:rsid w:val="37300B8F"/>
    <w:rsid w:val="37675EFA"/>
    <w:rsid w:val="37CF0B03"/>
    <w:rsid w:val="37ED2F6B"/>
    <w:rsid w:val="382B05A1"/>
    <w:rsid w:val="38A564CF"/>
    <w:rsid w:val="39125055"/>
    <w:rsid w:val="39275870"/>
    <w:rsid w:val="39903CC9"/>
    <w:rsid w:val="3A057F35"/>
    <w:rsid w:val="3A157A93"/>
    <w:rsid w:val="3A4E5139"/>
    <w:rsid w:val="3A8702BB"/>
    <w:rsid w:val="3AE11430"/>
    <w:rsid w:val="3B2C02BA"/>
    <w:rsid w:val="3B3E6CBF"/>
    <w:rsid w:val="3B5D7DB2"/>
    <w:rsid w:val="3B750BCB"/>
    <w:rsid w:val="3BDA2E25"/>
    <w:rsid w:val="3BFE358C"/>
    <w:rsid w:val="3C423E63"/>
    <w:rsid w:val="3C5E09D8"/>
    <w:rsid w:val="3CC42F2C"/>
    <w:rsid w:val="3CE436B3"/>
    <w:rsid w:val="3CE61C46"/>
    <w:rsid w:val="3CF55E6F"/>
    <w:rsid w:val="3D0D6999"/>
    <w:rsid w:val="3D3312F3"/>
    <w:rsid w:val="3E180F0F"/>
    <w:rsid w:val="3E191A8B"/>
    <w:rsid w:val="3EE50A5A"/>
    <w:rsid w:val="3EEF153D"/>
    <w:rsid w:val="3F10224D"/>
    <w:rsid w:val="3F372987"/>
    <w:rsid w:val="3F4D71DF"/>
    <w:rsid w:val="3F775AFA"/>
    <w:rsid w:val="3F7A7C1E"/>
    <w:rsid w:val="401A6E5B"/>
    <w:rsid w:val="40595BDF"/>
    <w:rsid w:val="40727699"/>
    <w:rsid w:val="40D17FC9"/>
    <w:rsid w:val="40E41B2F"/>
    <w:rsid w:val="41276219"/>
    <w:rsid w:val="418B3974"/>
    <w:rsid w:val="42922126"/>
    <w:rsid w:val="43281B85"/>
    <w:rsid w:val="4390713C"/>
    <w:rsid w:val="43FD1B26"/>
    <w:rsid w:val="440A1080"/>
    <w:rsid w:val="44192B76"/>
    <w:rsid w:val="4429183A"/>
    <w:rsid w:val="44592D2C"/>
    <w:rsid w:val="445F27FF"/>
    <w:rsid w:val="4473671E"/>
    <w:rsid w:val="44A15858"/>
    <w:rsid w:val="44BC0DCA"/>
    <w:rsid w:val="455224D0"/>
    <w:rsid w:val="45A80A0B"/>
    <w:rsid w:val="45C915E6"/>
    <w:rsid w:val="46374809"/>
    <w:rsid w:val="467E24E3"/>
    <w:rsid w:val="46812117"/>
    <w:rsid w:val="468620DE"/>
    <w:rsid w:val="47155DEE"/>
    <w:rsid w:val="471A30DB"/>
    <w:rsid w:val="47226438"/>
    <w:rsid w:val="47411396"/>
    <w:rsid w:val="47A92BD0"/>
    <w:rsid w:val="47F87F85"/>
    <w:rsid w:val="48E655DB"/>
    <w:rsid w:val="49262704"/>
    <w:rsid w:val="492F47E2"/>
    <w:rsid w:val="494D636E"/>
    <w:rsid w:val="49502BAE"/>
    <w:rsid w:val="4A12419C"/>
    <w:rsid w:val="4A3B0FAC"/>
    <w:rsid w:val="4A4610D3"/>
    <w:rsid w:val="4A853B9F"/>
    <w:rsid w:val="4B775DC1"/>
    <w:rsid w:val="4B815D72"/>
    <w:rsid w:val="4BAB31D0"/>
    <w:rsid w:val="4C277D05"/>
    <w:rsid w:val="4CB6385A"/>
    <w:rsid w:val="4CE05F46"/>
    <w:rsid w:val="4D036562"/>
    <w:rsid w:val="4D287FB2"/>
    <w:rsid w:val="4DAE2FAC"/>
    <w:rsid w:val="4DC50C9E"/>
    <w:rsid w:val="4DD0592E"/>
    <w:rsid w:val="4DE81C67"/>
    <w:rsid w:val="4DF04CBD"/>
    <w:rsid w:val="4E0F2511"/>
    <w:rsid w:val="4E213BAC"/>
    <w:rsid w:val="4E2F4D7A"/>
    <w:rsid w:val="4E32321F"/>
    <w:rsid w:val="501F6D14"/>
    <w:rsid w:val="50845CCC"/>
    <w:rsid w:val="513006EF"/>
    <w:rsid w:val="51A02EAA"/>
    <w:rsid w:val="532A7CD1"/>
    <w:rsid w:val="53694A58"/>
    <w:rsid w:val="54DD6B8E"/>
    <w:rsid w:val="550E6120"/>
    <w:rsid w:val="551C31F0"/>
    <w:rsid w:val="55447729"/>
    <w:rsid w:val="555905AC"/>
    <w:rsid w:val="55A00744"/>
    <w:rsid w:val="55B218F0"/>
    <w:rsid w:val="567E17B4"/>
    <w:rsid w:val="572421A5"/>
    <w:rsid w:val="57B3730C"/>
    <w:rsid w:val="58A52622"/>
    <w:rsid w:val="58F86DCD"/>
    <w:rsid w:val="5910767A"/>
    <w:rsid w:val="59B059A0"/>
    <w:rsid w:val="5A3B31EC"/>
    <w:rsid w:val="5B5E6FDE"/>
    <w:rsid w:val="5BC24DFE"/>
    <w:rsid w:val="5BC956D8"/>
    <w:rsid w:val="5BF264ED"/>
    <w:rsid w:val="5C3663C7"/>
    <w:rsid w:val="5CB31B7D"/>
    <w:rsid w:val="5D2F7C85"/>
    <w:rsid w:val="5D714B88"/>
    <w:rsid w:val="5D9E38AD"/>
    <w:rsid w:val="5DD13F97"/>
    <w:rsid w:val="5E240A97"/>
    <w:rsid w:val="5E4A36D4"/>
    <w:rsid w:val="5EB636DA"/>
    <w:rsid w:val="5F4B662B"/>
    <w:rsid w:val="5F992F29"/>
    <w:rsid w:val="600A5F59"/>
    <w:rsid w:val="60150B31"/>
    <w:rsid w:val="6030546B"/>
    <w:rsid w:val="60463157"/>
    <w:rsid w:val="6052476B"/>
    <w:rsid w:val="606A61CF"/>
    <w:rsid w:val="60703F78"/>
    <w:rsid w:val="607D61B3"/>
    <w:rsid w:val="60C31801"/>
    <w:rsid w:val="60D658A4"/>
    <w:rsid w:val="60EB1E3E"/>
    <w:rsid w:val="6154311B"/>
    <w:rsid w:val="627C46EA"/>
    <w:rsid w:val="62C74984"/>
    <w:rsid w:val="63183F02"/>
    <w:rsid w:val="63763AEB"/>
    <w:rsid w:val="64132606"/>
    <w:rsid w:val="6415378F"/>
    <w:rsid w:val="64185D72"/>
    <w:rsid w:val="644A102B"/>
    <w:rsid w:val="645E1E81"/>
    <w:rsid w:val="648115B8"/>
    <w:rsid w:val="64DB32B8"/>
    <w:rsid w:val="64E74CEE"/>
    <w:rsid w:val="65117C20"/>
    <w:rsid w:val="66095183"/>
    <w:rsid w:val="665A6E92"/>
    <w:rsid w:val="66CF4AF6"/>
    <w:rsid w:val="66D12703"/>
    <w:rsid w:val="671C1F0F"/>
    <w:rsid w:val="67C67130"/>
    <w:rsid w:val="67F62CA1"/>
    <w:rsid w:val="6852443E"/>
    <w:rsid w:val="68A10A12"/>
    <w:rsid w:val="68CE56F9"/>
    <w:rsid w:val="68F75255"/>
    <w:rsid w:val="69911574"/>
    <w:rsid w:val="6A9C05C7"/>
    <w:rsid w:val="6BB731C8"/>
    <w:rsid w:val="6BED68B1"/>
    <w:rsid w:val="6C62398B"/>
    <w:rsid w:val="6C7F6878"/>
    <w:rsid w:val="6C9E168D"/>
    <w:rsid w:val="6D574E69"/>
    <w:rsid w:val="6E4D1318"/>
    <w:rsid w:val="6EEB776B"/>
    <w:rsid w:val="6F0138DD"/>
    <w:rsid w:val="6FC37B4D"/>
    <w:rsid w:val="6FD229C7"/>
    <w:rsid w:val="70092F56"/>
    <w:rsid w:val="7018483D"/>
    <w:rsid w:val="701B1922"/>
    <w:rsid w:val="709C261D"/>
    <w:rsid w:val="71214808"/>
    <w:rsid w:val="716748ED"/>
    <w:rsid w:val="71897F64"/>
    <w:rsid w:val="7218541A"/>
    <w:rsid w:val="728608AC"/>
    <w:rsid w:val="72C02639"/>
    <w:rsid w:val="72C22DF9"/>
    <w:rsid w:val="72E45871"/>
    <w:rsid w:val="7309479F"/>
    <w:rsid w:val="73416704"/>
    <w:rsid w:val="73D000F3"/>
    <w:rsid w:val="743648FE"/>
    <w:rsid w:val="746F7751"/>
    <w:rsid w:val="74787A71"/>
    <w:rsid w:val="747A2B18"/>
    <w:rsid w:val="748543F1"/>
    <w:rsid w:val="75202AD9"/>
    <w:rsid w:val="754D39B4"/>
    <w:rsid w:val="75573F2C"/>
    <w:rsid w:val="75D40898"/>
    <w:rsid w:val="75DF1A5F"/>
    <w:rsid w:val="75E02CFB"/>
    <w:rsid w:val="761B1D24"/>
    <w:rsid w:val="7647405F"/>
    <w:rsid w:val="770F48DD"/>
    <w:rsid w:val="772628F2"/>
    <w:rsid w:val="7733331C"/>
    <w:rsid w:val="7772530F"/>
    <w:rsid w:val="77850EBE"/>
    <w:rsid w:val="77DF217B"/>
    <w:rsid w:val="782A3E5A"/>
    <w:rsid w:val="785C17DA"/>
    <w:rsid w:val="78A71336"/>
    <w:rsid w:val="790E6816"/>
    <w:rsid w:val="79292718"/>
    <w:rsid w:val="794C441C"/>
    <w:rsid w:val="79592C73"/>
    <w:rsid w:val="796225A2"/>
    <w:rsid w:val="79741856"/>
    <w:rsid w:val="7A1A034C"/>
    <w:rsid w:val="7AEE4B35"/>
    <w:rsid w:val="7B09399B"/>
    <w:rsid w:val="7B2B0121"/>
    <w:rsid w:val="7B2B6F5B"/>
    <w:rsid w:val="7B3D459A"/>
    <w:rsid w:val="7B8855FA"/>
    <w:rsid w:val="7C0E708B"/>
    <w:rsid w:val="7C5C5877"/>
    <w:rsid w:val="7CB13050"/>
    <w:rsid w:val="7D073D6B"/>
    <w:rsid w:val="7DB64D60"/>
    <w:rsid w:val="7DE200EE"/>
    <w:rsid w:val="7E171603"/>
    <w:rsid w:val="7E5358DD"/>
    <w:rsid w:val="7E5850E2"/>
    <w:rsid w:val="7ECC62C1"/>
    <w:rsid w:val="7F332CB1"/>
    <w:rsid w:val="7FE723C6"/>
    <w:rsid w:val="7FF5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Lines="0" w:beforeAutospacing="0" w:afterLines="0" w:afterAutospacing="0" w:line="560" w:lineRule="exact"/>
      <w:outlineLvl w:val="0"/>
    </w:pPr>
    <w:rPr>
      <w:rFonts w:ascii="Arial" w:hAnsi="Arial" w:eastAsia="黑体"/>
      <w:kern w:val="44"/>
    </w:rPr>
  </w:style>
  <w:style w:type="paragraph" w:styleId="5">
    <w:name w:val="heading 2"/>
    <w:basedOn w:val="6"/>
    <w:next w:val="1"/>
    <w:unhideWhenUsed/>
    <w:qFormat/>
    <w:uiPriority w:val="0"/>
    <w:pPr>
      <w:keepNext/>
      <w:keepLines/>
      <w:spacing w:beforeLines="0" w:beforeAutospacing="0" w:afterLines="0" w:afterAutospacing="0" w:line="560" w:lineRule="exact"/>
      <w:outlineLvl w:val="1"/>
    </w:pPr>
    <w:rPr>
      <w:rFonts w:ascii="Arial" w:hAnsi="Arial" w:eastAsia="方正楷体_GB2312"/>
      <w:b/>
    </w:rPr>
  </w:style>
  <w:style w:type="paragraph" w:styleId="6">
    <w:name w:val="heading 3"/>
    <w:next w:val="1"/>
    <w:semiHidden/>
    <w:unhideWhenUsed/>
    <w:qFormat/>
    <w:uiPriority w:val="0"/>
    <w:pPr>
      <w:keepNext/>
      <w:keepLines/>
      <w:spacing w:beforeLines="0" w:beforeAutospacing="0" w:afterLines="0" w:afterAutospacing="0" w:line="560" w:lineRule="exact"/>
      <w:outlineLvl w:val="2"/>
    </w:pPr>
    <w:rPr>
      <w:rFonts w:ascii="Arial" w:hAnsi="Arial" w:eastAsia="仿宋_GB2312" w:cstheme="minorBidi"/>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2020-09-24T02:10:00Z</dcterms:created>
  <dc:creator>DELL</dc:creator>
  <cp:lastModifiedBy>未知</cp:lastModifiedBy>
  <cp:lastPrinted>2020-10-29T02:54:00Z</cp:lastPrinted>
  <dcterms:modified xsi:type="dcterms:W3CDTF">2020-11-02T01:22:46Z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